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2D43" w14:textId="77777777" w:rsidR="005D4AC3" w:rsidRPr="00110CED" w:rsidRDefault="005D4AC3" w:rsidP="005D4AC3">
      <w:pPr>
        <w:shd w:val="clear" w:color="auto" w:fill="FFFFFF"/>
        <w:ind w:right="-24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b/>
          <w:bCs/>
          <w:color w:val="000000" w:themeColor="text1"/>
          <w:sz w:val="20"/>
          <w:szCs w:val="20"/>
        </w:rPr>
        <w:t>Press Release</w:t>
      </w:r>
    </w:p>
    <w:p w14:paraId="66624472" w14:textId="77777777" w:rsidR="005D4AC3" w:rsidRPr="00110CED" w:rsidRDefault="005D4AC3" w:rsidP="005D4AC3">
      <w:pPr>
        <w:shd w:val="clear" w:color="auto" w:fill="FFFFFF"/>
        <w:ind w:right="-243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Wednesday</w:t>
      </w:r>
      <w:r w:rsidRPr="00110CE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July 19</w:t>
      </w:r>
      <w:r w:rsidRPr="00110CED">
        <w:rPr>
          <w:rFonts w:ascii="Arial" w:hAnsi="Arial" w:cs="Arial"/>
          <w:i/>
          <w:iCs/>
          <w:color w:val="000000" w:themeColor="text1"/>
          <w:sz w:val="20"/>
          <w:szCs w:val="20"/>
        </w:rPr>
        <w:t>, 2023, Mumbai</w:t>
      </w:r>
    </w:p>
    <w:p w14:paraId="62E8B2D6" w14:textId="77777777" w:rsidR="005D4AC3" w:rsidRPr="00110CED" w:rsidRDefault="005D4AC3" w:rsidP="005D4AC3">
      <w:pPr>
        <w:shd w:val="clear" w:color="auto" w:fill="FFFFFF"/>
        <w:ind w:right="-243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421AB63" w14:textId="77777777" w:rsidR="005D4AC3" w:rsidRPr="004A5D49" w:rsidRDefault="005D4AC3" w:rsidP="005D4AC3">
      <w:pPr>
        <w:shd w:val="clear" w:color="auto" w:fill="FFFFFF"/>
        <w:tabs>
          <w:tab w:val="left" w:pos="-993"/>
        </w:tabs>
        <w:ind w:left="-270"/>
        <w:jc w:val="center"/>
        <w:rPr>
          <w:rFonts w:ascii="Arial" w:hAnsi="Arial" w:cs="Arial"/>
          <w:b/>
          <w:bCs/>
          <w:color w:val="000000" w:themeColor="text1"/>
        </w:rPr>
      </w:pPr>
      <w:r w:rsidRPr="004A5D49">
        <w:rPr>
          <w:rFonts w:ascii="Arial" w:hAnsi="Arial" w:cs="Arial"/>
          <w:b/>
          <w:bCs/>
          <w:color w:val="000000" w:themeColor="text1"/>
        </w:rPr>
        <w:t xml:space="preserve">L&amp;T Finance Holdings Ltd. records Q1FY24 Profit After Tax (PAT) of Rs. 531 </w:t>
      </w:r>
      <w:proofErr w:type="gramStart"/>
      <w:r w:rsidRPr="004A5D49">
        <w:rPr>
          <w:rFonts w:ascii="Arial" w:hAnsi="Arial" w:cs="Arial"/>
          <w:b/>
          <w:bCs/>
          <w:color w:val="000000" w:themeColor="text1"/>
        </w:rPr>
        <w:t>crore</w:t>
      </w:r>
      <w:proofErr w:type="gramEnd"/>
      <w:r w:rsidRPr="004A5D49">
        <w:rPr>
          <w:rFonts w:ascii="Arial" w:hAnsi="Arial" w:cs="Arial"/>
          <w:b/>
          <w:bCs/>
          <w:color w:val="000000" w:themeColor="text1"/>
        </w:rPr>
        <w:t xml:space="preserve"> (Consol.) up 10</w:t>
      </w:r>
      <w:r>
        <w:rPr>
          <w:rFonts w:ascii="Arial" w:hAnsi="Arial" w:cs="Arial"/>
          <w:b/>
          <w:bCs/>
          <w:color w:val="000000" w:themeColor="text1"/>
        </w:rPr>
        <w:t>3</w:t>
      </w:r>
      <w:r w:rsidRPr="004A5D49">
        <w:rPr>
          <w:rFonts w:ascii="Arial" w:hAnsi="Arial" w:cs="Arial"/>
          <w:b/>
          <w:bCs/>
          <w:color w:val="000000" w:themeColor="text1"/>
        </w:rPr>
        <w:t>% YoY</w:t>
      </w:r>
    </w:p>
    <w:p w14:paraId="6AB8C12A" w14:textId="77777777" w:rsidR="005D4AC3" w:rsidRDefault="005D4AC3" w:rsidP="005D4AC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5E46F8B" w14:textId="5C80943B" w:rsidR="00855CFF" w:rsidRDefault="005D4AC3" w:rsidP="005D4AC3">
      <w:pPr>
        <w:shd w:val="clear" w:color="auto" w:fill="FFFFFF"/>
        <w:spacing w:line="276" w:lineRule="auto"/>
        <w:jc w:val="center"/>
        <w:rPr>
          <w:rFonts w:ascii="Arial" w:hAnsi="Arial" w:cs="Arial"/>
          <w:color w:val="222222"/>
          <w:sz w:val="22"/>
          <w:szCs w:val="22"/>
        </w:rPr>
      </w:pPr>
      <w:r w:rsidRPr="00B720BF">
        <w:rPr>
          <w:rFonts w:ascii="Arial" w:hAnsi="Arial" w:cs="Arial"/>
          <w:color w:val="222222"/>
          <w:sz w:val="22"/>
          <w:szCs w:val="22"/>
        </w:rPr>
        <w:t>Achieves Lakshya</w:t>
      </w:r>
      <w:r w:rsidR="00987852">
        <w:rPr>
          <w:rFonts w:ascii="Arial" w:hAnsi="Arial" w:cs="Arial"/>
          <w:color w:val="222222"/>
          <w:sz w:val="22"/>
          <w:szCs w:val="22"/>
        </w:rPr>
        <w:t xml:space="preserve"> 20</w:t>
      </w:r>
      <w:r w:rsidRPr="00B720BF">
        <w:rPr>
          <w:rFonts w:ascii="Arial" w:hAnsi="Arial" w:cs="Arial"/>
          <w:color w:val="222222"/>
          <w:sz w:val="22"/>
          <w:szCs w:val="22"/>
        </w:rPr>
        <w:t xml:space="preserve">26 goal of over 80 percent </w:t>
      </w:r>
      <w:proofErr w:type="spellStart"/>
      <w:r w:rsidR="00855CFF" w:rsidRPr="00B720BF">
        <w:rPr>
          <w:rFonts w:ascii="Arial" w:hAnsi="Arial" w:cs="Arial"/>
          <w:color w:val="222222"/>
          <w:sz w:val="22"/>
          <w:szCs w:val="22"/>
        </w:rPr>
        <w:t>retailisation</w:t>
      </w:r>
      <w:proofErr w:type="spellEnd"/>
      <w:r w:rsidRPr="00B720BF">
        <w:rPr>
          <w:rFonts w:ascii="Arial" w:hAnsi="Arial" w:cs="Arial"/>
          <w:color w:val="222222"/>
          <w:sz w:val="22"/>
          <w:szCs w:val="22"/>
        </w:rPr>
        <w:t xml:space="preserve"> much</w:t>
      </w:r>
      <w:r w:rsidRPr="002E56D0">
        <w:rPr>
          <w:rFonts w:ascii="Arial" w:hAnsi="Arial" w:cs="Arial"/>
          <w:color w:val="222222"/>
          <w:sz w:val="22"/>
          <w:szCs w:val="22"/>
        </w:rPr>
        <w:t xml:space="preserve"> ahead of time; </w:t>
      </w:r>
    </w:p>
    <w:p w14:paraId="4CD75E0B" w14:textId="4628CA44" w:rsidR="005D4AC3" w:rsidRPr="002E56D0" w:rsidRDefault="005D4AC3" w:rsidP="005D4AC3">
      <w:pPr>
        <w:shd w:val="clear" w:color="auto" w:fill="FFFFFF"/>
        <w:spacing w:line="276" w:lineRule="auto"/>
        <w:jc w:val="center"/>
        <w:rPr>
          <w:rFonts w:ascii="Arial" w:hAnsi="Arial" w:cs="Arial"/>
          <w:color w:val="222222"/>
          <w:sz w:val="22"/>
          <w:szCs w:val="22"/>
        </w:rPr>
      </w:pPr>
      <w:r w:rsidRPr="002E56D0">
        <w:rPr>
          <w:rFonts w:ascii="Arial" w:hAnsi="Arial" w:cs="Arial"/>
          <w:color w:val="222222"/>
          <w:sz w:val="22"/>
          <w:szCs w:val="22"/>
        </w:rPr>
        <w:t>PLANET app crosses 44 lakh downloads</w:t>
      </w:r>
    </w:p>
    <w:p w14:paraId="7D3FBA83" w14:textId="77777777" w:rsidR="005D4AC3" w:rsidRPr="00110CED" w:rsidRDefault="005D4AC3" w:rsidP="005D4AC3">
      <w:pPr>
        <w:shd w:val="clear" w:color="auto" w:fill="FFFFFF"/>
        <w:tabs>
          <w:tab w:val="left" w:pos="-993"/>
          <w:tab w:val="left" w:pos="6495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10E330B9" w14:textId="77777777" w:rsidR="005D4AC3" w:rsidRPr="005B6448" w:rsidRDefault="005D4AC3" w:rsidP="005D4AC3">
      <w:pPr>
        <w:pStyle w:val="ListParagraph"/>
        <w:numPr>
          <w:ilvl w:val="0"/>
          <w:numId w:val="1"/>
        </w:numPr>
        <w:shd w:val="clear" w:color="auto" w:fill="FFFFFF"/>
        <w:tabs>
          <w:tab w:val="left" w:pos="-993"/>
        </w:tabs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Retail portfolio mix now stands</w:t>
      </w:r>
      <w:r w:rsidRPr="00110CE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110CED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at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82</w:t>
      </w:r>
      <w:r w:rsidRPr="00110CED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% </w:t>
      </w:r>
      <w:r w:rsidRPr="00110CE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of the total loan book</w:t>
      </w:r>
      <w: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; </w:t>
      </w:r>
      <w:bookmarkStart w:id="0" w:name="_Hlk140265766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 w:rsidRPr="00326354">
        <w:rPr>
          <w:rFonts w:ascii="Arial" w:hAnsi="Arial" w:cs="Arial"/>
          <w:i/>
          <w:iCs/>
          <w:color w:val="000000" w:themeColor="text1"/>
          <w:sz w:val="20"/>
          <w:szCs w:val="20"/>
        </w:rPr>
        <w:t>chieve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d</w:t>
      </w:r>
      <w:r w:rsidRPr="0032635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10CED">
        <w:rPr>
          <w:rFonts w:ascii="Arial" w:hAnsi="Arial" w:cs="Arial"/>
          <w:i/>
          <w:iCs/>
          <w:color w:val="000000" w:themeColor="text1"/>
          <w:sz w:val="20"/>
          <w:szCs w:val="20"/>
        </w:rPr>
        <w:t>Lakshya 2026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goal of greater than 80%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retailisation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0F090B">
        <w:rPr>
          <w:rFonts w:ascii="Arial" w:hAnsi="Arial" w:cs="Arial"/>
          <w:i/>
          <w:iCs/>
          <w:color w:val="000000" w:themeColor="text1"/>
          <w:sz w:val="20"/>
          <w:szCs w:val="20"/>
        </w:rPr>
        <w:t>almost three years in advance</w:t>
      </w:r>
    </w:p>
    <w:bookmarkEnd w:id="0"/>
    <w:p w14:paraId="76D0E9DE" w14:textId="35C70DDF" w:rsidR="005D4AC3" w:rsidRPr="00110CED" w:rsidRDefault="005D4AC3" w:rsidP="005D4AC3">
      <w:pPr>
        <w:pStyle w:val="ListParagraph"/>
        <w:numPr>
          <w:ilvl w:val="0"/>
          <w:numId w:val="1"/>
        </w:numPr>
        <w:shd w:val="clear" w:color="auto" w:fill="FFFFFF"/>
        <w:tabs>
          <w:tab w:val="left" w:pos="-993"/>
        </w:tabs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Robust Q1FY24</w:t>
      </w:r>
      <w:r w:rsidRPr="00110CE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retail disbursement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s at Rs. 11,193 </w:t>
      </w:r>
      <w:proofErr w:type="gramStart"/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crore</w:t>
      </w:r>
      <w:proofErr w:type="gramEnd"/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, up 25% YoY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bookmarkStart w:id="1" w:name="_Hlk133153857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driven by </w:t>
      </w:r>
      <w:bookmarkEnd w:id="1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strong growth across all retail segments </w:t>
      </w:r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>coupled with top</w:t>
      </w:r>
      <w:r w:rsidR="0090358B">
        <w:rPr>
          <w:rFonts w:ascii="Arial" w:hAnsi="Arial" w:cs="Arial"/>
          <w:i/>
          <w:iCs/>
          <w:color w:val="000000" w:themeColor="text1"/>
          <w:sz w:val="20"/>
          <w:szCs w:val="20"/>
        </w:rPr>
        <w:t>-</w:t>
      </w:r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>notch digital and data analytics</w:t>
      </w:r>
    </w:p>
    <w:p w14:paraId="47A8E07C" w14:textId="77777777" w:rsidR="005D4AC3" w:rsidRPr="00F62545" w:rsidRDefault="005D4AC3" w:rsidP="005D4AC3">
      <w:pPr>
        <w:pStyle w:val="ListParagraph"/>
        <w:numPr>
          <w:ilvl w:val="0"/>
          <w:numId w:val="1"/>
        </w:numPr>
        <w:shd w:val="clear" w:color="auto" w:fill="FFFFFF"/>
        <w:tabs>
          <w:tab w:val="left" w:pos="-993"/>
        </w:tabs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2" w:name="_Hlk140485807"/>
      <w:r w:rsidRPr="00F6254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Accelerated reduction in the wholesale book by 65% YoY</w:t>
      </w:r>
      <w:bookmarkStart w:id="3" w:name="_Hlk140265796"/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>, a reduction of Rs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25,992 </w:t>
      </w:r>
      <w:proofErr w:type="gramStart"/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>crore</w:t>
      </w:r>
      <w:proofErr w:type="gramEnd"/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in line with Lakshya 2026 gaining momentum towards becoming a top-notch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retail finance company</w:t>
      </w:r>
      <w:bookmarkEnd w:id="2"/>
      <w:bookmarkEnd w:id="3"/>
    </w:p>
    <w:p w14:paraId="34B8D22F" w14:textId="06DA2034" w:rsidR="005D4AC3" w:rsidRPr="00F62545" w:rsidRDefault="005D4AC3" w:rsidP="005D4A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4" w:name="_Hlk133153944"/>
      <w:r w:rsidRPr="003136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PLANET app crosses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44</w:t>
      </w:r>
      <w:r w:rsidRPr="003136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lakh</w:t>
      </w:r>
      <w:r w:rsidRPr="003136B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downloads</w:t>
      </w:r>
      <w:bookmarkEnd w:id="4"/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; </w:t>
      </w:r>
      <w:r w:rsidR="00420F7C">
        <w:rPr>
          <w:rFonts w:ascii="Arial" w:hAnsi="Arial" w:cs="Arial"/>
          <w:i/>
          <w:iCs/>
          <w:sz w:val="20"/>
          <w:szCs w:val="20"/>
        </w:rPr>
        <w:t>p</w:t>
      </w:r>
      <w:r w:rsidRPr="0023403E">
        <w:rPr>
          <w:rFonts w:ascii="Arial" w:hAnsi="Arial" w:cs="Arial"/>
          <w:i/>
          <w:iCs/>
          <w:sz w:val="20"/>
          <w:szCs w:val="20"/>
        </w:rPr>
        <w:t xml:space="preserve">owering up with digital technology towards becoming a </w:t>
      </w:r>
      <w:proofErr w:type="spellStart"/>
      <w:r w:rsidRPr="0023403E">
        <w:rPr>
          <w:rFonts w:ascii="Arial" w:hAnsi="Arial" w:cs="Arial"/>
          <w:b/>
          <w:bCs/>
          <w:i/>
          <w:iCs/>
          <w:sz w:val="20"/>
          <w:szCs w:val="20"/>
        </w:rPr>
        <w:t>Fintech@Scale</w:t>
      </w:r>
      <w:proofErr w:type="spellEnd"/>
      <w:r w:rsidRPr="002340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31642673" w14:textId="39E74AEA" w:rsidR="005D4AC3" w:rsidRPr="00F62545" w:rsidRDefault="005D4AC3" w:rsidP="005D4A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6254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Progressing well on the proposed merger</w:t>
      </w:r>
      <w:r w:rsidRPr="00F6254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of entities leading to a </w:t>
      </w:r>
      <w:r w:rsidRPr="00F6254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'</w:t>
      </w:r>
      <w:r w:rsidR="00C60C4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s</w:t>
      </w:r>
      <w:r w:rsidRPr="00F6254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ingle entity structure'</w:t>
      </w:r>
    </w:p>
    <w:p w14:paraId="6A23C74B" w14:textId="77777777" w:rsidR="005D4AC3" w:rsidRPr="00DB1A41" w:rsidRDefault="005D4AC3" w:rsidP="005D4AC3">
      <w:pPr>
        <w:shd w:val="clear" w:color="auto" w:fill="FFFFFF"/>
        <w:tabs>
          <w:tab w:val="left" w:pos="450"/>
        </w:tabs>
        <w:spacing w:line="360" w:lineRule="auto"/>
        <w:ind w:right="-4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  <w:bookmarkStart w:id="5" w:name="_Hlk70592967"/>
      <w:bookmarkStart w:id="6" w:name="_Hlk93679676"/>
    </w:p>
    <w:p w14:paraId="79A166F4" w14:textId="77777777" w:rsidR="005D4AC3" w:rsidRPr="00110CED" w:rsidRDefault="005D4AC3" w:rsidP="005D4AC3">
      <w:pPr>
        <w:shd w:val="clear" w:color="auto" w:fill="FFFFFF"/>
        <w:tabs>
          <w:tab w:val="left" w:pos="450"/>
        </w:tabs>
        <w:spacing w:line="360" w:lineRule="auto"/>
        <w:ind w:left="-90" w:right="-4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  <w:bookmarkStart w:id="7" w:name="_Hlk132991577"/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 xml:space="preserve">Update on Lakshya 2026 goals at the end of Q1FY24: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803"/>
        <w:gridCol w:w="1432"/>
        <w:gridCol w:w="1800"/>
        <w:gridCol w:w="2178"/>
        <w:gridCol w:w="1804"/>
      </w:tblGrid>
      <w:tr w:rsidR="005D4AC3" w:rsidRPr="00110CED" w14:paraId="709B2944" w14:textId="77777777" w:rsidTr="002E56D0">
        <w:tc>
          <w:tcPr>
            <w:tcW w:w="1803" w:type="dxa"/>
            <w:shd w:val="clear" w:color="auto" w:fill="1F3864" w:themeFill="accent1" w:themeFillShade="80"/>
          </w:tcPr>
          <w:p w14:paraId="3FF78F42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</w:p>
        </w:tc>
        <w:tc>
          <w:tcPr>
            <w:tcW w:w="1432" w:type="dxa"/>
            <w:shd w:val="clear" w:color="auto" w:fill="1F3864" w:themeFill="accent1" w:themeFillShade="80"/>
          </w:tcPr>
          <w:p w14:paraId="173FB11E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</w:pPr>
            <w:proofErr w:type="spellStart"/>
            <w:r w:rsidRPr="00DB1A41"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  <w:t>Retailisation</w:t>
            </w:r>
            <w:proofErr w:type="spellEnd"/>
          </w:p>
        </w:tc>
        <w:tc>
          <w:tcPr>
            <w:tcW w:w="1800" w:type="dxa"/>
            <w:shd w:val="clear" w:color="auto" w:fill="1F3864" w:themeFill="accent1" w:themeFillShade="80"/>
          </w:tcPr>
          <w:p w14:paraId="017A9316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</w:pPr>
            <w:r w:rsidRPr="00DB1A41"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  <w:t>Retail growth</w:t>
            </w:r>
          </w:p>
        </w:tc>
        <w:tc>
          <w:tcPr>
            <w:tcW w:w="2178" w:type="dxa"/>
            <w:shd w:val="clear" w:color="auto" w:fill="1F3864" w:themeFill="accent1" w:themeFillShade="80"/>
          </w:tcPr>
          <w:p w14:paraId="56695588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</w:pPr>
            <w:r w:rsidRPr="00DB1A41"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  <w:t>Retail asset quality</w:t>
            </w:r>
          </w:p>
        </w:tc>
        <w:tc>
          <w:tcPr>
            <w:tcW w:w="1804" w:type="dxa"/>
            <w:shd w:val="clear" w:color="auto" w:fill="1F3864" w:themeFill="accent1" w:themeFillShade="80"/>
          </w:tcPr>
          <w:p w14:paraId="2203387F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</w:pPr>
            <w:r w:rsidRPr="00DB1A41"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  <w:t>Retail Return on Assets (</w:t>
            </w:r>
            <w:proofErr w:type="spellStart"/>
            <w:r w:rsidRPr="00DB1A41"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  <w:t>RoA</w:t>
            </w:r>
            <w:proofErr w:type="spellEnd"/>
            <w:r w:rsidRPr="00DB1A41">
              <w:rPr>
                <w:rFonts w:ascii="Arial" w:hAnsi="Arial" w:cs="Arial"/>
                <w:b/>
                <w:bCs/>
                <w:color w:val="FFFFFF" w:themeColor="background1"/>
                <w:w w:val="103"/>
                <w:sz w:val="16"/>
                <w:szCs w:val="16"/>
              </w:rPr>
              <w:t>)</w:t>
            </w:r>
          </w:p>
        </w:tc>
      </w:tr>
      <w:tr w:rsidR="005D4AC3" w:rsidRPr="00110CED" w14:paraId="5F2DC06A" w14:textId="77777777" w:rsidTr="005D3280">
        <w:tc>
          <w:tcPr>
            <w:tcW w:w="1803" w:type="dxa"/>
            <w:vAlign w:val="center"/>
          </w:tcPr>
          <w:p w14:paraId="0B8AFA56" w14:textId="77777777" w:rsidR="005D4AC3" w:rsidRPr="00DB1A41" w:rsidRDefault="005D4AC3" w:rsidP="005D328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Lakshya 2026 goals</w:t>
            </w:r>
          </w:p>
        </w:tc>
        <w:tc>
          <w:tcPr>
            <w:tcW w:w="1432" w:type="dxa"/>
          </w:tcPr>
          <w:p w14:paraId="6DB2669E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&gt;80%</w:t>
            </w:r>
          </w:p>
        </w:tc>
        <w:tc>
          <w:tcPr>
            <w:tcW w:w="1800" w:type="dxa"/>
          </w:tcPr>
          <w:p w14:paraId="7017B022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&gt;25% Compound Annual Growth Rate (CAGR)</w:t>
            </w:r>
          </w:p>
        </w:tc>
        <w:tc>
          <w:tcPr>
            <w:tcW w:w="2178" w:type="dxa"/>
          </w:tcPr>
          <w:p w14:paraId="57CD088E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Gross Stage 3 (GS3) &lt;3%</w:t>
            </w:r>
          </w:p>
          <w:p w14:paraId="6FCE0155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Net Stage 3 (NS3) &lt;1%</w:t>
            </w:r>
          </w:p>
        </w:tc>
        <w:tc>
          <w:tcPr>
            <w:tcW w:w="1804" w:type="dxa"/>
          </w:tcPr>
          <w:p w14:paraId="4D15FA3C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2.8% - 3%</w:t>
            </w:r>
          </w:p>
        </w:tc>
      </w:tr>
      <w:tr w:rsidR="005D4AC3" w:rsidRPr="00110CED" w14:paraId="6BE1C4D9" w14:textId="77777777" w:rsidTr="002E56D0">
        <w:tc>
          <w:tcPr>
            <w:tcW w:w="1803" w:type="dxa"/>
          </w:tcPr>
          <w:p w14:paraId="793B7C92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 xml:space="preserve">Year 0 – </w:t>
            </w:r>
          </w:p>
          <w:p w14:paraId="7A26D39D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FY22 Retail</w:t>
            </w:r>
          </w:p>
        </w:tc>
        <w:tc>
          <w:tcPr>
            <w:tcW w:w="1432" w:type="dxa"/>
          </w:tcPr>
          <w:p w14:paraId="3E912180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51%</w:t>
            </w:r>
          </w:p>
        </w:tc>
        <w:tc>
          <w:tcPr>
            <w:tcW w:w="1800" w:type="dxa"/>
          </w:tcPr>
          <w:p w14:paraId="60BF01E4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10% YoY</w:t>
            </w:r>
          </w:p>
        </w:tc>
        <w:tc>
          <w:tcPr>
            <w:tcW w:w="2178" w:type="dxa"/>
          </w:tcPr>
          <w:p w14:paraId="1AB8723B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GS3 3.82%</w:t>
            </w:r>
          </w:p>
          <w:p w14:paraId="3102F237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NS3 1.14%</w:t>
            </w:r>
          </w:p>
        </w:tc>
        <w:tc>
          <w:tcPr>
            <w:tcW w:w="1804" w:type="dxa"/>
          </w:tcPr>
          <w:p w14:paraId="5912E4F9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Q4 2.58%</w:t>
            </w:r>
          </w:p>
          <w:p w14:paraId="44E6F8C0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FY 1.66%</w:t>
            </w:r>
          </w:p>
        </w:tc>
      </w:tr>
      <w:tr w:rsidR="005D4AC3" w:rsidRPr="00110CED" w14:paraId="3408D620" w14:textId="77777777" w:rsidTr="002E56D0">
        <w:tc>
          <w:tcPr>
            <w:tcW w:w="1803" w:type="dxa"/>
          </w:tcPr>
          <w:p w14:paraId="4F49B6A3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 xml:space="preserve">Year 1 – </w:t>
            </w:r>
          </w:p>
          <w:p w14:paraId="59F06427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FY23 Retail</w:t>
            </w:r>
          </w:p>
        </w:tc>
        <w:tc>
          <w:tcPr>
            <w:tcW w:w="1432" w:type="dxa"/>
          </w:tcPr>
          <w:p w14:paraId="763F1D4F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75%</w:t>
            </w:r>
          </w:p>
        </w:tc>
        <w:tc>
          <w:tcPr>
            <w:tcW w:w="1800" w:type="dxa"/>
          </w:tcPr>
          <w:p w14:paraId="6E54442D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35% YoY</w:t>
            </w:r>
          </w:p>
        </w:tc>
        <w:tc>
          <w:tcPr>
            <w:tcW w:w="2178" w:type="dxa"/>
          </w:tcPr>
          <w:p w14:paraId="31C86284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GS3 3.41%</w:t>
            </w:r>
          </w:p>
          <w:p w14:paraId="6F7838A5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NS3 0.71%</w:t>
            </w:r>
          </w:p>
        </w:tc>
        <w:tc>
          <w:tcPr>
            <w:tcW w:w="1804" w:type="dxa"/>
          </w:tcPr>
          <w:p w14:paraId="7221F1D9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Q4 2.95%</w:t>
            </w:r>
          </w:p>
          <w:p w14:paraId="1B47FEDB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  <w:t>FY 2.46%</w:t>
            </w:r>
          </w:p>
        </w:tc>
      </w:tr>
      <w:tr w:rsidR="005D4AC3" w:rsidRPr="00110CED" w14:paraId="55B7E729" w14:textId="77777777" w:rsidTr="002E56D0">
        <w:tc>
          <w:tcPr>
            <w:tcW w:w="1803" w:type="dxa"/>
            <w:shd w:val="clear" w:color="auto" w:fill="FFF2CC" w:themeFill="accent4" w:themeFillTint="33"/>
            <w:vAlign w:val="center"/>
          </w:tcPr>
          <w:p w14:paraId="520B56CD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 xml:space="preserve">Year 2 – </w:t>
            </w:r>
          </w:p>
          <w:p w14:paraId="180DD3C3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Q1FY24</w:t>
            </w:r>
          </w:p>
        </w:tc>
        <w:tc>
          <w:tcPr>
            <w:tcW w:w="1432" w:type="dxa"/>
            <w:shd w:val="clear" w:color="auto" w:fill="FFF2CC" w:themeFill="accent4" w:themeFillTint="33"/>
            <w:vAlign w:val="center"/>
          </w:tcPr>
          <w:p w14:paraId="658198C9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82%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14:paraId="37CF32A8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34% YoY</w:t>
            </w:r>
          </w:p>
        </w:tc>
        <w:tc>
          <w:tcPr>
            <w:tcW w:w="2178" w:type="dxa"/>
            <w:shd w:val="clear" w:color="auto" w:fill="FFF2CC" w:themeFill="accent4" w:themeFillTint="33"/>
            <w:vAlign w:val="center"/>
          </w:tcPr>
          <w:p w14:paraId="22D7367E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GS3: 3.21%</w:t>
            </w:r>
          </w:p>
          <w:p w14:paraId="355242FC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NS3: 0.70%</w:t>
            </w:r>
          </w:p>
        </w:tc>
        <w:tc>
          <w:tcPr>
            <w:tcW w:w="1804" w:type="dxa"/>
            <w:shd w:val="clear" w:color="auto" w:fill="FFF2CC" w:themeFill="accent4" w:themeFillTint="33"/>
            <w:vAlign w:val="center"/>
          </w:tcPr>
          <w:p w14:paraId="2FE094C4" w14:textId="77777777" w:rsidR="005D4AC3" w:rsidRPr="00DB1A41" w:rsidRDefault="005D4AC3" w:rsidP="002E56D0">
            <w:pPr>
              <w:tabs>
                <w:tab w:val="left" w:pos="450"/>
              </w:tabs>
              <w:spacing w:line="360" w:lineRule="auto"/>
              <w:ind w:right="-45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IN" w:eastAsia="ja-JP"/>
              </w:rPr>
            </w:pPr>
            <w:r w:rsidRPr="00DB1A41">
              <w:rPr>
                <w:rFonts w:ascii="Arial" w:eastAsiaTheme="minorHAnsi" w:hAnsi="Arial" w:cs="Arial"/>
                <w:b/>
                <w:color w:val="000000" w:themeColor="text1"/>
                <w:sz w:val="16"/>
                <w:szCs w:val="16"/>
                <w:lang w:val="en-IN" w:eastAsia="ja-JP"/>
              </w:rPr>
              <w:t>Q1FY24: 3.08%</w:t>
            </w:r>
          </w:p>
        </w:tc>
      </w:tr>
    </w:tbl>
    <w:p w14:paraId="0B2C066F" w14:textId="77777777" w:rsidR="005D4AC3" w:rsidRPr="00DB1A41" w:rsidRDefault="005D4AC3" w:rsidP="005D4AC3">
      <w:pPr>
        <w:shd w:val="clear" w:color="auto" w:fill="FFFFFF"/>
        <w:tabs>
          <w:tab w:val="left" w:pos="450"/>
        </w:tabs>
        <w:spacing w:line="360" w:lineRule="auto"/>
        <w:ind w:left="-90" w:right="-45"/>
        <w:jc w:val="both"/>
        <w:rPr>
          <w:rFonts w:ascii="Arial" w:eastAsiaTheme="minorHAnsi" w:hAnsi="Arial" w:cs="Arial"/>
          <w:b/>
          <w:color w:val="000000" w:themeColor="text1"/>
          <w:sz w:val="16"/>
          <w:szCs w:val="16"/>
          <w:lang w:val="en-IN" w:eastAsia="ja-JP"/>
        </w:rPr>
      </w:pPr>
      <w:r w:rsidRPr="00DB1A41">
        <w:rPr>
          <w:rFonts w:ascii="Arial" w:eastAsiaTheme="minorHAnsi" w:hAnsi="Arial" w:cs="Arial"/>
          <w:b/>
          <w:bCs/>
          <w:color w:val="000000" w:themeColor="text1"/>
          <w:sz w:val="16"/>
          <w:szCs w:val="16"/>
        </w:rPr>
        <w:t>*</w:t>
      </w:r>
      <w:r w:rsidRPr="00DB1A41">
        <w:rPr>
          <w:rFonts w:ascii="Arial" w:eastAsiaTheme="minorHAnsi" w:hAnsi="Arial" w:cs="Arial"/>
          <w:b/>
          <w:color w:val="000000" w:themeColor="text1"/>
          <w:sz w:val="16"/>
          <w:szCs w:val="16"/>
          <w:lang w:val="en-IN" w:eastAsia="ja-JP"/>
        </w:rPr>
        <w:t xml:space="preserve"> Lakshya plan was launched in April 2022. Year 0 refers to the financial year 2021-22</w:t>
      </w:r>
    </w:p>
    <w:p w14:paraId="32FF9170" w14:textId="77777777" w:rsidR="005D4AC3" w:rsidRDefault="005D4AC3" w:rsidP="005D4AC3">
      <w:pPr>
        <w:shd w:val="clear" w:color="auto" w:fill="FFFFFF"/>
        <w:tabs>
          <w:tab w:val="left" w:pos="450"/>
        </w:tabs>
        <w:spacing w:line="360" w:lineRule="auto"/>
        <w:ind w:left="-90" w:right="-4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17B499C" w14:textId="77777777" w:rsidR="005D4AC3" w:rsidRDefault="005D4AC3" w:rsidP="005D4AC3">
      <w:pPr>
        <w:shd w:val="clear" w:color="auto" w:fill="FFFFFF"/>
        <w:tabs>
          <w:tab w:val="left" w:pos="450"/>
        </w:tabs>
        <w:spacing w:line="360" w:lineRule="auto"/>
        <w:ind w:left="-90" w:right="-4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</w:pPr>
      <w:r w:rsidRPr="00110CED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</w:rPr>
        <w:t>Retail Performance:</w:t>
      </w:r>
    </w:p>
    <w:p w14:paraId="41C3A9EF" w14:textId="26DB0DF8" w:rsidR="005D4AC3" w:rsidRPr="00110CED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B1A41">
        <w:rPr>
          <w:rFonts w:ascii="Arial" w:hAnsi="Arial" w:cs="Arial"/>
          <w:b/>
          <w:color w:val="000000" w:themeColor="text1"/>
          <w:sz w:val="20"/>
          <w:szCs w:val="20"/>
        </w:rPr>
        <w:t xml:space="preserve">Q1FY24 Retail PAT at Rs. </w:t>
      </w:r>
      <w:bookmarkStart w:id="8" w:name="_Hlk140265716"/>
      <w:r w:rsidRPr="00DB1A41">
        <w:rPr>
          <w:rFonts w:ascii="Arial" w:hAnsi="Arial" w:cs="Arial"/>
          <w:b/>
          <w:color w:val="000000" w:themeColor="text1"/>
          <w:sz w:val="20"/>
          <w:szCs w:val="20"/>
        </w:rPr>
        <w:t xml:space="preserve">533 </w:t>
      </w:r>
      <w:proofErr w:type="gramStart"/>
      <w:r w:rsidRPr="00DB1A41">
        <w:rPr>
          <w:rFonts w:ascii="Arial" w:hAnsi="Arial" w:cs="Arial"/>
          <w:b/>
          <w:color w:val="000000" w:themeColor="text1"/>
          <w:sz w:val="20"/>
          <w:szCs w:val="20"/>
        </w:rPr>
        <w:t>crore</w:t>
      </w:r>
      <w:bookmarkEnd w:id="8"/>
      <w:proofErr w:type="gramEnd"/>
      <w:r w:rsidRPr="00DB1A41">
        <w:rPr>
          <w:rFonts w:ascii="Arial" w:hAnsi="Arial" w:cs="Arial"/>
          <w:b/>
          <w:color w:val="000000" w:themeColor="text1"/>
          <w:sz w:val="20"/>
          <w:szCs w:val="20"/>
        </w:rPr>
        <w:t xml:space="preserve">, up </w:t>
      </w:r>
      <w:bookmarkStart w:id="9" w:name="_Hlk140265695"/>
      <w:r w:rsidRPr="00DB1A41">
        <w:rPr>
          <w:rFonts w:ascii="Arial" w:hAnsi="Arial" w:cs="Arial"/>
          <w:b/>
          <w:color w:val="000000" w:themeColor="text1"/>
          <w:sz w:val="20"/>
          <w:szCs w:val="20"/>
        </w:rPr>
        <w:t>176% YoY</w:t>
      </w:r>
      <w:bookmarkEnd w:id="9"/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on the back of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steady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Net Interest Margins (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>NIMs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)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 + </w:t>
      </w:r>
      <w:r w:rsidRPr="00A91421">
        <w:rPr>
          <w:rFonts w:ascii="Arial" w:hAnsi="Arial" w:cs="Arial"/>
          <w:bCs/>
          <w:color w:val="000000" w:themeColor="text1"/>
          <w:sz w:val="20"/>
          <w:szCs w:val="20"/>
        </w:rPr>
        <w:t xml:space="preserve">Fees (11.71% in Q1FY24 vs. 11.57% in Q1FY23) and reduction in credit cost (2.78% in Q1FY24 vs. 5.03% in Q1FY23) </w:t>
      </w:r>
    </w:p>
    <w:p w14:paraId="0A5AFB83" w14:textId="77777777" w:rsidR="005D4AC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24822">
        <w:rPr>
          <w:rFonts w:ascii="Arial" w:hAnsi="Arial" w:cs="Arial"/>
          <w:b/>
          <w:color w:val="000000" w:themeColor="text1"/>
          <w:sz w:val="20"/>
          <w:szCs w:val="20"/>
        </w:rPr>
        <w:t xml:space="preserve">Retail portfolio mix </w:t>
      </w:r>
      <w:r w:rsidRPr="000348B8">
        <w:rPr>
          <w:rFonts w:ascii="Arial" w:hAnsi="Arial" w:cs="Arial"/>
          <w:bCs/>
          <w:color w:val="000000" w:themeColor="text1"/>
          <w:sz w:val="20"/>
          <w:szCs w:val="20"/>
        </w:rPr>
        <w:t>at 82%</w:t>
      </w:r>
      <w:r w:rsidRPr="00D24822">
        <w:rPr>
          <w:rFonts w:ascii="Arial" w:hAnsi="Arial" w:cs="Arial"/>
          <w:bCs/>
          <w:color w:val="000000" w:themeColor="text1"/>
          <w:sz w:val="20"/>
          <w:szCs w:val="20"/>
        </w:rPr>
        <w:t xml:space="preserve"> in Q1FY24 compared with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54</w:t>
      </w:r>
      <w:r w:rsidRPr="00D24822">
        <w:rPr>
          <w:rFonts w:ascii="Arial" w:hAnsi="Arial" w:cs="Arial"/>
          <w:bCs/>
          <w:color w:val="000000" w:themeColor="text1"/>
          <w:sz w:val="20"/>
          <w:szCs w:val="20"/>
        </w:rPr>
        <w:t>% in Q1FY23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9F1647">
        <w:rPr>
          <w:rFonts w:ascii="Arial" w:hAnsi="Arial" w:cs="Arial"/>
          <w:bCs/>
          <w:color w:val="000000" w:themeColor="text1"/>
          <w:sz w:val="20"/>
          <w:szCs w:val="20"/>
        </w:rPr>
        <w:t>and 75% in Q4FY23</w:t>
      </w:r>
    </w:p>
    <w:p w14:paraId="5F6F8137" w14:textId="77777777" w:rsidR="005D4AC3" w:rsidRPr="00CA6D79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Strong</w:t>
      </w: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quarterly</w:t>
      </w: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 xml:space="preserve"> Retail disbursements 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at Rs.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11,193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gramStart"/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>crore</w:t>
      </w:r>
      <w:proofErr w:type="gramEnd"/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, up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25</w:t>
      </w:r>
      <w:r w:rsidRPr="00CA6D79">
        <w:rPr>
          <w:rFonts w:ascii="Arial" w:hAnsi="Arial" w:cs="Arial"/>
          <w:bCs/>
          <w:color w:val="000000" w:themeColor="text1"/>
          <w:sz w:val="20"/>
          <w:szCs w:val="20"/>
        </w:rPr>
        <w:t xml:space="preserve">%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in Q1FY24 from Rs. 8,938 </w:t>
      </w: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crore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in Q1FY23</w:t>
      </w:r>
    </w:p>
    <w:p w14:paraId="53BD16C3" w14:textId="77777777" w:rsidR="005D4AC3" w:rsidRPr="00411BE7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>Retail book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>size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 xml:space="preserve">at Rs. 64,274 </w:t>
      </w:r>
      <w:proofErr w:type="gramStart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>crore</w:t>
      </w:r>
      <w:proofErr w:type="gramEnd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 xml:space="preserve">, up 34% in Q1FY24 from Rs. 47,794 </w:t>
      </w:r>
      <w:proofErr w:type="gramStart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>crore</w:t>
      </w:r>
      <w:proofErr w:type="gramEnd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 xml:space="preserve"> in Q1FY23</w:t>
      </w:r>
    </w:p>
    <w:p w14:paraId="181F1361" w14:textId="77777777" w:rsidR="005D4AC3" w:rsidRPr="00991376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 xml:space="preserve">Improved Retail Asset Quality </w:t>
      </w:r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>with GS3 at 3.21% and NS3 at 0.70% with provision coverage ratio of 79%</w:t>
      </w:r>
    </w:p>
    <w:p w14:paraId="7B373039" w14:textId="77777777" w:rsidR="005D4AC3" w:rsidRPr="00411BE7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266C0">
        <w:rPr>
          <w:rFonts w:ascii="Arial" w:hAnsi="Arial" w:cs="Arial"/>
          <w:bCs/>
          <w:color w:val="000000" w:themeColor="text1"/>
          <w:sz w:val="20"/>
          <w:szCs w:val="20"/>
        </w:rPr>
        <w:t xml:space="preserve">Retail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RoA</w:t>
      </w:r>
      <w:proofErr w:type="spellEnd"/>
      <w:r w:rsidRPr="00110CE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C64A1B">
        <w:rPr>
          <w:rFonts w:ascii="Arial" w:hAnsi="Arial" w:cs="Arial"/>
          <w:bCs/>
          <w:color w:val="000000" w:themeColor="text1"/>
          <w:sz w:val="20"/>
          <w:szCs w:val="20"/>
        </w:rPr>
        <w:t>crossed the Lakshya FY26 target of 3.0% and reached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3.08</w:t>
      </w:r>
      <w:r w:rsidRPr="00110CED">
        <w:rPr>
          <w:rFonts w:ascii="Arial" w:hAnsi="Arial" w:cs="Arial"/>
          <w:bCs/>
          <w:color w:val="000000" w:themeColor="text1"/>
          <w:sz w:val="20"/>
          <w:szCs w:val="20"/>
        </w:rPr>
        <w:t xml:space="preserve">% in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Q1FY24</w:t>
      </w:r>
    </w:p>
    <w:p w14:paraId="0F41FF8F" w14:textId="77777777" w:rsidR="005D4AC3" w:rsidRPr="00DB1A41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A4BC6">
        <w:rPr>
          <w:rFonts w:ascii="Arial" w:hAnsi="Arial" w:cs="Arial"/>
          <w:sz w:val="20"/>
          <w:szCs w:val="20"/>
        </w:rPr>
        <w:lastRenderedPageBreak/>
        <w:t xml:space="preserve">Retail </w:t>
      </w:r>
      <w:r w:rsidRPr="009A4BC6">
        <w:rPr>
          <w:rFonts w:ascii="Arial" w:hAnsi="Arial" w:cs="Arial"/>
          <w:b/>
          <w:bCs/>
          <w:sz w:val="20"/>
          <w:szCs w:val="20"/>
        </w:rPr>
        <w:t xml:space="preserve">Return on Equity </w:t>
      </w:r>
      <w:r w:rsidRPr="009A4BC6">
        <w:rPr>
          <w:rFonts w:ascii="Arial" w:hAnsi="Arial" w:cs="Arial"/>
          <w:sz w:val="20"/>
          <w:szCs w:val="20"/>
        </w:rPr>
        <w:t>(</w:t>
      </w:r>
      <w:proofErr w:type="spellStart"/>
      <w:r w:rsidRPr="009A4BC6">
        <w:rPr>
          <w:rFonts w:ascii="Arial" w:hAnsi="Arial" w:cs="Arial"/>
          <w:sz w:val="20"/>
          <w:szCs w:val="20"/>
        </w:rPr>
        <w:t>RoE</w:t>
      </w:r>
      <w:proofErr w:type="spellEnd"/>
      <w:r w:rsidRPr="009A4BC6">
        <w:rPr>
          <w:rFonts w:ascii="Arial" w:hAnsi="Arial" w:cs="Arial"/>
          <w:sz w:val="20"/>
          <w:szCs w:val="20"/>
        </w:rPr>
        <w:t>)</w:t>
      </w:r>
      <w:r w:rsidRPr="009A4BC6">
        <w:rPr>
          <w:rFonts w:ascii="ArialMT" w:hAnsi="ArialMT"/>
          <w:sz w:val="20"/>
          <w:szCs w:val="20"/>
        </w:rPr>
        <w:t xml:space="preserve"> </w:t>
      </w:r>
      <w:r w:rsidRPr="009A4BC6">
        <w:rPr>
          <w:rFonts w:ascii="Arial" w:hAnsi="Arial" w:cs="Arial"/>
          <w:sz w:val="20"/>
          <w:szCs w:val="20"/>
        </w:rPr>
        <w:t xml:space="preserve">at 15.67% for Q1FY24 up 676 bps YoY </w:t>
      </w:r>
    </w:p>
    <w:p w14:paraId="71F5C65F" w14:textId="77777777" w:rsidR="005D4AC3" w:rsidRPr="00DB1A41" w:rsidRDefault="005D4AC3" w:rsidP="005D4AC3">
      <w:pPr>
        <w:pStyle w:val="ListParagraph"/>
        <w:shd w:val="clear" w:color="auto" w:fill="FFFFFF"/>
        <w:tabs>
          <w:tab w:val="left" w:pos="450"/>
        </w:tabs>
        <w:spacing w:line="360" w:lineRule="auto"/>
        <w:ind w:left="180" w:right="-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CC817E7" w14:textId="77777777" w:rsidR="005D4AC3" w:rsidRPr="00110CED" w:rsidRDefault="005D4AC3" w:rsidP="005D4AC3">
      <w:pPr>
        <w:shd w:val="clear" w:color="auto" w:fill="FFFFFF"/>
        <w:tabs>
          <w:tab w:val="left" w:pos="450"/>
        </w:tabs>
        <w:spacing w:line="420" w:lineRule="auto"/>
        <w:ind w:left="-9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10C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Consolidated Performance:</w:t>
      </w:r>
    </w:p>
    <w:bookmarkEnd w:id="5"/>
    <w:bookmarkEnd w:id="6"/>
    <w:p w14:paraId="234A009D" w14:textId="77777777" w:rsidR="005D4AC3" w:rsidRPr="0059279B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272" w:hanging="27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 xml:space="preserve">PAT stood at Rs. 531 </w:t>
      </w:r>
      <w:proofErr w:type="gramStart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>crore</w:t>
      </w:r>
      <w:proofErr w:type="gramEnd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>, up 10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 xml:space="preserve">% in Q1FY24 from Rs. 262 </w:t>
      </w:r>
      <w:proofErr w:type="gramStart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>crore</w:t>
      </w:r>
      <w:proofErr w:type="gramEnd"/>
      <w:r w:rsidRPr="005927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in Q1FY23</w:t>
      </w:r>
    </w:p>
    <w:p w14:paraId="69065F13" w14:textId="77777777" w:rsidR="005D4AC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272" w:hanging="272"/>
        <w:jc w:val="both"/>
        <w:rPr>
          <w:rFonts w:ascii="Arial" w:hAnsi="Arial" w:cs="Arial"/>
          <w:bCs/>
          <w:sz w:val="20"/>
          <w:szCs w:val="20"/>
        </w:rPr>
      </w:pPr>
      <w:r w:rsidRPr="00A91421">
        <w:rPr>
          <w:rFonts w:ascii="Arial" w:hAnsi="Arial" w:cs="Arial"/>
          <w:b/>
          <w:sz w:val="20"/>
          <w:szCs w:val="20"/>
        </w:rPr>
        <w:t xml:space="preserve">Strong Balance Sheet with a Capital Adequacy Ratio of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25.75% (Tier 1: 23.42%)</w:t>
      </w:r>
      <w:r w:rsidRPr="00A91421">
        <w:rPr>
          <w:rFonts w:ascii="Arial" w:hAnsi="Arial" w:cs="Arial"/>
          <w:bCs/>
          <w:color w:val="000000" w:themeColor="text1"/>
          <w:sz w:val="20"/>
          <w:szCs w:val="20"/>
        </w:rPr>
        <w:t xml:space="preserve"> in Q1FY24 </w:t>
      </w:r>
      <w:r w:rsidRPr="00A91421">
        <w:rPr>
          <w:rFonts w:ascii="Arial" w:hAnsi="Arial" w:cs="Arial"/>
          <w:bCs/>
          <w:sz w:val="20"/>
          <w:szCs w:val="20"/>
        </w:rPr>
        <w:t>and adequate liquidity buffers in place</w:t>
      </w:r>
    </w:p>
    <w:p w14:paraId="347A4627" w14:textId="77777777" w:rsidR="005D4AC3" w:rsidRPr="00F1502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272" w:hanging="272"/>
        <w:jc w:val="both"/>
        <w:rPr>
          <w:rFonts w:ascii="Arial" w:hAnsi="Arial" w:cs="Arial"/>
          <w:bCs/>
          <w:sz w:val="20"/>
          <w:szCs w:val="20"/>
        </w:rPr>
      </w:pPr>
      <w:r w:rsidRPr="00F15023">
        <w:rPr>
          <w:rFonts w:ascii="Arial" w:hAnsi="Arial" w:cs="Arial"/>
          <w:b/>
          <w:sz w:val="20"/>
          <w:szCs w:val="20"/>
        </w:rPr>
        <w:t xml:space="preserve">Declared highest final dividend till date </w:t>
      </w:r>
      <w:r w:rsidRPr="00F15023">
        <w:rPr>
          <w:rFonts w:ascii="Arial" w:hAnsi="Arial" w:cs="Arial"/>
          <w:bCs/>
          <w:sz w:val="20"/>
          <w:szCs w:val="20"/>
        </w:rPr>
        <w:t>of Rs. 2 per equity share (face value of Rs. 10 per share) for FY23</w:t>
      </w:r>
    </w:p>
    <w:p w14:paraId="51E20F5F" w14:textId="77777777" w:rsidR="005D4AC3" w:rsidRPr="00110CED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60" w:lineRule="auto"/>
        <w:ind w:left="270" w:right="-45" w:hanging="27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>Rated ‘AAA’ by CRISIL, ICRA, CARE and India Ratings</w:t>
      </w:r>
      <w:bookmarkEnd w:id="7"/>
    </w:p>
    <w:p w14:paraId="68749B1B" w14:textId="77777777" w:rsidR="005D4AC3" w:rsidRDefault="005D4AC3" w:rsidP="005D4AC3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6F54B7" w14:textId="77777777" w:rsidR="005D4AC3" w:rsidRPr="00110CED" w:rsidRDefault="005D4AC3" w:rsidP="005D4AC3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color w:val="000000" w:themeColor="text1"/>
          <w:sz w:val="20"/>
          <w:szCs w:val="20"/>
        </w:rPr>
        <w:t>The Board of</w:t>
      </w:r>
      <w:r w:rsidRPr="00110C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L&amp;T Finance Holdings Ltd. (LTFH)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110C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one of the leading Non-Banking Financial Companies (NBFCs) in India today announced the financial results for the </w:t>
      </w:r>
      <w:r>
        <w:rPr>
          <w:rFonts w:ascii="Arial" w:hAnsi="Arial" w:cs="Arial"/>
          <w:color w:val="000000" w:themeColor="text1"/>
          <w:sz w:val="20"/>
          <w:szCs w:val="20"/>
        </w:rPr>
        <w:t>first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quarter ended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June 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, 2023. </w:t>
      </w:r>
      <w:r>
        <w:rPr>
          <w:rFonts w:ascii="Arial" w:hAnsi="Arial" w:cs="Arial"/>
          <w:color w:val="000000" w:themeColor="text1"/>
          <w:sz w:val="20"/>
          <w:szCs w:val="20"/>
        </w:rPr>
        <w:t>Under Lakshya 2026, t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>
        <w:rPr>
          <w:rFonts w:ascii="Arial" w:hAnsi="Arial" w:cs="Arial"/>
          <w:color w:val="000000" w:themeColor="text1"/>
          <w:sz w:val="20"/>
          <w:szCs w:val="20"/>
        </w:rPr>
        <w:t>C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ompany is accelerating its journey towards becoming 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top-class, 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>digitally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>enabled and customer-focused retail financier.</w:t>
      </w:r>
    </w:p>
    <w:p w14:paraId="3611DEA0" w14:textId="77777777" w:rsidR="005D4AC3" w:rsidRPr="00110CED" w:rsidRDefault="005D4AC3" w:rsidP="005D4AC3">
      <w:pPr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967A69" w14:textId="77777777" w:rsidR="005D4AC3" w:rsidRPr="00110CED" w:rsidRDefault="005D4AC3" w:rsidP="005D4AC3">
      <w:pPr>
        <w:pStyle w:val="NormalWeb"/>
        <w:spacing w:before="0" w:beforeAutospacing="0" w:after="0" w:afterAutospacing="0"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LTFH is amongst the leading financial institutions </w:t>
      </w:r>
      <w:r>
        <w:rPr>
          <w:rFonts w:ascii="Arial" w:hAnsi="Arial" w:cs="Arial"/>
          <w:color w:val="000000" w:themeColor="text1"/>
          <w:sz w:val="20"/>
          <w:szCs w:val="20"/>
        </w:rPr>
        <w:t>offering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Farm Equipment </w:t>
      </w:r>
      <w:r>
        <w:rPr>
          <w:rFonts w:ascii="Arial" w:hAnsi="Arial" w:cs="Arial"/>
          <w:color w:val="000000" w:themeColor="text1"/>
          <w:sz w:val="20"/>
          <w:szCs w:val="20"/>
        </w:rPr>
        <w:t>Loans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Rural </w:t>
      </w:r>
      <w:r>
        <w:rPr>
          <w:rFonts w:ascii="Arial" w:hAnsi="Arial" w:cs="Arial"/>
          <w:color w:val="000000" w:themeColor="text1"/>
          <w:sz w:val="20"/>
          <w:szCs w:val="20"/>
        </w:rPr>
        <w:t>Group Loans &amp; Micro Finance,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Two-Wheeler </w:t>
      </w:r>
      <w:r>
        <w:rPr>
          <w:rFonts w:ascii="Arial" w:hAnsi="Arial" w:cs="Arial"/>
          <w:color w:val="000000" w:themeColor="text1"/>
          <w:sz w:val="20"/>
          <w:szCs w:val="20"/>
        </w:rPr>
        <w:t>Loans, Consumer Loans, Home Loans &amp; Loan Against Property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as well 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SME Loans. 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With a sustainable business model, data analytics-led collection and disbursements, a customer-centric approach and a sharp focus on asset quality, the </w:t>
      </w:r>
      <w:r>
        <w:rPr>
          <w:rFonts w:ascii="Arial" w:hAnsi="Arial" w:cs="Arial"/>
          <w:color w:val="000000" w:themeColor="text1"/>
          <w:sz w:val="20"/>
          <w:szCs w:val="20"/>
        </w:rPr>
        <w:t>C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ompany remains committed to building a stable and sustainable </w:t>
      </w:r>
      <w:proofErr w:type="spellStart"/>
      <w:r w:rsidRPr="00110CED">
        <w:rPr>
          <w:rFonts w:ascii="Arial" w:hAnsi="Arial" w:cs="Arial"/>
          <w:color w:val="000000" w:themeColor="text1"/>
          <w:sz w:val="20"/>
          <w:szCs w:val="20"/>
        </w:rPr>
        <w:t>organisation</w:t>
      </w:r>
      <w:proofErr w:type="spellEnd"/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for all its stakeholders.</w:t>
      </w:r>
    </w:p>
    <w:p w14:paraId="35E309A1" w14:textId="77777777" w:rsidR="005D4AC3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F52626" w14:textId="5179C121" w:rsidR="005D4AC3" w:rsidRDefault="005D4AC3" w:rsidP="005D4AC3">
      <w:pPr>
        <w:shd w:val="clear" w:color="auto" w:fill="FFFFFF"/>
        <w:spacing w:line="30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117">
        <w:rPr>
          <w:rFonts w:ascii="Arial" w:hAnsi="Arial" w:cs="Arial"/>
          <w:color w:val="000000" w:themeColor="text1"/>
          <w:sz w:val="20"/>
          <w:szCs w:val="20"/>
        </w:rPr>
        <w:t>Commenting on the financial results,</w:t>
      </w:r>
      <w:r w:rsidRPr="003601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Mr. Dinanath </w:t>
      </w:r>
      <w:proofErr w:type="spellStart"/>
      <w:r w:rsidRPr="00360117">
        <w:rPr>
          <w:rFonts w:ascii="Arial" w:hAnsi="Arial" w:cs="Arial"/>
          <w:b/>
          <w:bCs/>
          <w:color w:val="000000" w:themeColor="text1"/>
          <w:sz w:val="20"/>
          <w:szCs w:val="20"/>
        </w:rPr>
        <w:t>Dubhashi</w:t>
      </w:r>
      <w:proofErr w:type="spellEnd"/>
      <w:r w:rsidRPr="003601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Managing Director &amp; CEO, L&amp;T Finance Holdings Ltd. </w:t>
      </w:r>
      <w:r w:rsidRPr="00360117">
        <w:rPr>
          <w:rFonts w:ascii="Arial" w:hAnsi="Arial" w:cs="Arial"/>
          <w:color w:val="000000" w:themeColor="text1"/>
          <w:sz w:val="20"/>
          <w:szCs w:val="20"/>
        </w:rPr>
        <w:t>said,</w:t>
      </w:r>
      <w:r w:rsidRPr="003601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60117">
        <w:rPr>
          <w:rFonts w:ascii="Arial" w:hAnsi="Arial" w:cs="Arial"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It gives me immense pleasure to announce that we have achieved </w:t>
      </w:r>
      <w:proofErr w:type="spellStart"/>
      <w:r w:rsidRPr="00BD4780">
        <w:rPr>
          <w:rFonts w:ascii="Arial" w:hAnsi="Arial" w:cs="Arial"/>
          <w:color w:val="000000" w:themeColor="text1"/>
          <w:sz w:val="20"/>
          <w:szCs w:val="20"/>
        </w:rPr>
        <w:t>Retailisation</w:t>
      </w:r>
      <w:proofErr w:type="spellEnd"/>
      <w:r w:rsidRPr="00BD4780">
        <w:rPr>
          <w:rFonts w:ascii="Arial" w:hAnsi="Arial" w:cs="Arial"/>
          <w:color w:val="000000" w:themeColor="text1"/>
          <w:sz w:val="20"/>
          <w:szCs w:val="20"/>
        </w:rPr>
        <w:t xml:space="preserve"> of 82% in Q1FY24 itself, much ahead of Lakshya 2026 goal of greater than 80% </w:t>
      </w:r>
      <w:proofErr w:type="spellStart"/>
      <w:r w:rsidRPr="002C4E01">
        <w:rPr>
          <w:rFonts w:ascii="Arial" w:hAnsi="Arial" w:cs="Arial"/>
          <w:color w:val="000000" w:themeColor="text1"/>
          <w:sz w:val="20"/>
          <w:szCs w:val="20"/>
        </w:rPr>
        <w:t>Retailisation</w:t>
      </w:r>
      <w:proofErr w:type="spellEnd"/>
      <w:r w:rsidRPr="002C4E01">
        <w:rPr>
          <w:rFonts w:ascii="Arial" w:hAnsi="Arial" w:cs="Arial"/>
          <w:color w:val="000000" w:themeColor="text1"/>
          <w:sz w:val="20"/>
          <w:szCs w:val="20"/>
        </w:rPr>
        <w:t xml:space="preserve">. In fact, we have been able to achieve most of our Lakshya 2026 goals almost 3 years </w:t>
      </w:r>
      <w:r w:rsidR="00AF24D8" w:rsidRPr="002C4E01">
        <w:rPr>
          <w:rFonts w:ascii="Arial" w:hAnsi="Arial" w:cs="Arial"/>
          <w:color w:val="000000" w:themeColor="text1"/>
          <w:sz w:val="20"/>
          <w:szCs w:val="20"/>
        </w:rPr>
        <w:t>in advance</w:t>
      </w:r>
      <w:r w:rsidRPr="002C4E01">
        <w:rPr>
          <w:rFonts w:ascii="Arial" w:hAnsi="Arial" w:cs="Arial"/>
          <w:color w:val="000000" w:themeColor="text1"/>
          <w:sz w:val="20"/>
          <w:szCs w:val="20"/>
        </w:rPr>
        <w:t xml:space="preserve">. This achievement is attributed to the twin strategy of strongly growing the retail asset book on one side </w:t>
      </w:r>
      <w:r w:rsidR="00B94468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2C4E01">
        <w:rPr>
          <w:rFonts w:ascii="Arial" w:hAnsi="Arial" w:cs="Arial"/>
          <w:color w:val="000000" w:themeColor="text1"/>
          <w:sz w:val="20"/>
          <w:szCs w:val="20"/>
        </w:rPr>
        <w:t xml:space="preserve"> ensuring a sharp reduction in the wholesale book on the other, while maintaining best-in-class asset quality. 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 fintech front, our customer facing application PLANET has </w:t>
      </w:r>
      <w:r w:rsidRPr="006A43C5">
        <w:rPr>
          <w:rFonts w:ascii="Arial" w:hAnsi="Arial" w:cs="Arial"/>
          <w:color w:val="000000" w:themeColor="text1"/>
          <w:sz w:val="20"/>
          <w:szCs w:val="20"/>
        </w:rPr>
        <w:t>crossed 44 lakh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downloads as on date and </w:t>
      </w:r>
      <w:r>
        <w:rPr>
          <w:rFonts w:ascii="Arial" w:hAnsi="Arial" w:cs="Arial"/>
          <w:color w:val="222222"/>
          <w:sz w:val="20"/>
          <w:szCs w:val="20"/>
        </w:rPr>
        <w:t>is constantly evolving to offer exciting features to our customers, while servicing most of their requirements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Going forward, we will sustain our growth momentum and continue to work towards creating a customer-focused and sustainable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Fintech@Scale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The Company will continue to develop digital finance delivery as a customer value proposition thereby touching every part of the customer ecosystem through our digital offerings.”</w:t>
      </w:r>
    </w:p>
    <w:p w14:paraId="14C576A5" w14:textId="77777777" w:rsidR="005D4AC3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654E90" w14:textId="77777777" w:rsidR="005D4AC3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10CED">
        <w:rPr>
          <w:rFonts w:ascii="Arial" w:hAnsi="Arial" w:cs="Arial"/>
          <w:b/>
          <w:color w:val="000000" w:themeColor="text1"/>
          <w:sz w:val="20"/>
          <w:szCs w:val="20"/>
        </w:rPr>
        <w:t>Key Highlights:</w:t>
      </w:r>
    </w:p>
    <w:p w14:paraId="2783D41D" w14:textId="77777777" w:rsidR="005D4AC3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</w:p>
    <w:p w14:paraId="076D224C" w14:textId="77777777" w:rsidR="005D4AC3" w:rsidRPr="00D57307" w:rsidRDefault="005D4AC3" w:rsidP="005D4AC3">
      <w:pPr>
        <w:pStyle w:val="ListParagraph"/>
        <w:numPr>
          <w:ilvl w:val="0"/>
          <w:numId w:val="4"/>
        </w:numPr>
        <w:shd w:val="clear" w:color="auto" w:fill="FFFFFF"/>
        <w:spacing w:line="300" w:lineRule="auto"/>
        <w:ind w:right="-4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573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Robust Retail Franchise</w:t>
      </w:r>
    </w:p>
    <w:p w14:paraId="00C97536" w14:textId="15F57914" w:rsidR="005D4AC3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The Company’s 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granular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and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 deep pan India retail franchise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is led by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 its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marquee distribution capabilities namely, its 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geographic presence in around 2,00,000 villages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from 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700 plus rural branches and over </w:t>
      </w:r>
      <w:r w:rsidR="00186283" w:rsidRPr="009008CB">
        <w:rPr>
          <w:rFonts w:ascii="Arial" w:hAnsi="Arial" w:cs="Arial"/>
          <w:bCs/>
          <w:color w:val="000000" w:themeColor="text1"/>
          <w:sz w:val="20"/>
          <w:szCs w:val="20"/>
        </w:rPr>
        <w:t>150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 branches across urban centers</w:t>
      </w:r>
      <w:r w:rsidR="0021328B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>servicing over 89 lakh active customers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This extensive geographic presence is also supported by 9,500 plus channel relationships built over a decade. The Company also leverages its 2.1 crore plus customer database to drive a credible cross-sell franchise, contributing to 34% of the company’s disbursements</w:t>
      </w:r>
      <w:r w:rsidRPr="006D160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1C92F300" w14:textId="77777777" w:rsidR="00A95100" w:rsidRPr="00D57307" w:rsidRDefault="00A95100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BA2438D" w14:textId="77777777" w:rsidR="005D4AC3" w:rsidRPr="00D57307" w:rsidRDefault="005D4AC3" w:rsidP="005D4AC3">
      <w:pPr>
        <w:pStyle w:val="ListParagraph"/>
        <w:numPr>
          <w:ilvl w:val="0"/>
          <w:numId w:val="4"/>
        </w:numPr>
        <w:shd w:val="clear" w:color="auto" w:fill="FFFFFF"/>
        <w:spacing w:line="300" w:lineRule="auto"/>
        <w:ind w:right="-4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Healthy </w:t>
      </w:r>
      <w:r w:rsidRPr="00D573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Retail disbursements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and</w:t>
      </w:r>
      <w:r w:rsidRPr="00D5730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book</w:t>
      </w:r>
    </w:p>
    <w:p w14:paraId="2CFCE7A6" w14:textId="77777777" w:rsidR="005D4AC3" w:rsidRDefault="005D4AC3" w:rsidP="005D4AC3">
      <w:pPr>
        <w:pStyle w:val="ListParagraph"/>
        <w:shd w:val="clear" w:color="auto" w:fill="FFFFFF"/>
        <w:spacing w:line="300" w:lineRule="auto"/>
        <w:ind w:left="0" w:right="-45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The retail </w:t>
      </w:r>
      <w:r w:rsidRPr="00914FF6">
        <w:rPr>
          <w:rFonts w:ascii="Arial" w:eastAsiaTheme="minorHAnsi" w:hAnsi="Arial" w:cs="Arial"/>
          <w:color w:val="000000" w:themeColor="text1"/>
          <w:sz w:val="20"/>
          <w:szCs w:val="20"/>
        </w:rPr>
        <w:t>portfolio mix now stands at 82% of the total loan book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with strong retail disbursement of              </w:t>
      </w:r>
      <w:r w:rsidRPr="00914FF6">
        <w:rPr>
          <w:rFonts w:ascii="Arial" w:eastAsiaTheme="minorHAnsi" w:hAnsi="Arial" w:cs="Arial"/>
          <w:color w:val="000000" w:themeColor="text1"/>
          <w:sz w:val="20"/>
          <w:szCs w:val="20"/>
        </w:rPr>
        <w:t>Rs. 11,193 crore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(up 25% YoY) and retail book at </w:t>
      </w:r>
      <w:r w:rsidRPr="003B51B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Rs. </w:t>
      </w:r>
      <w:r w:rsidRPr="00EC655D">
        <w:rPr>
          <w:rFonts w:ascii="Arial" w:eastAsiaTheme="minorHAnsi" w:hAnsi="Arial" w:cs="Arial"/>
          <w:color w:val="000000" w:themeColor="text1"/>
          <w:sz w:val="20"/>
          <w:szCs w:val="20"/>
        </w:rPr>
        <w:t>64,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>274</w:t>
      </w:r>
      <w:r w:rsidRPr="003B51B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3B51B6">
        <w:rPr>
          <w:rFonts w:ascii="Arial" w:eastAsiaTheme="minorHAnsi" w:hAnsi="Arial" w:cs="Arial"/>
          <w:color w:val="000000" w:themeColor="text1"/>
          <w:sz w:val="20"/>
          <w:szCs w:val="20"/>
        </w:rPr>
        <w:t>crore</w:t>
      </w:r>
      <w:proofErr w:type="gramEnd"/>
      <w:r w:rsidRPr="003B51B6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(up 3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>4</w:t>
      </w:r>
      <w:r w:rsidRPr="003B51B6">
        <w:rPr>
          <w:rFonts w:ascii="Arial" w:eastAsiaTheme="minorHAnsi" w:hAnsi="Arial" w:cs="Arial"/>
          <w:color w:val="000000" w:themeColor="text1"/>
          <w:sz w:val="20"/>
          <w:szCs w:val="20"/>
        </w:rPr>
        <w:t>% YoY).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7D4F8D2A" w14:textId="77777777" w:rsidR="005D4AC3" w:rsidRDefault="005D4AC3" w:rsidP="005D4AC3">
      <w:pPr>
        <w:pStyle w:val="ListParagraph"/>
        <w:shd w:val="clear" w:color="auto" w:fill="FFFFFF"/>
        <w:spacing w:line="300" w:lineRule="auto"/>
        <w:ind w:left="0" w:right="-45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FE7777F" w14:textId="2D62CE46" w:rsidR="005D4AC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12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Rural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Group Loans &amp; Micro</w:t>
      </w:r>
      <w:r w:rsidRPr="007D412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B3E13">
        <w:rPr>
          <w:rFonts w:ascii="Arial" w:hAnsi="Arial" w:cs="Arial"/>
          <w:b/>
          <w:bCs/>
          <w:color w:val="000000" w:themeColor="text1"/>
          <w:sz w:val="20"/>
          <w:szCs w:val="20"/>
        </w:rPr>
        <w:t>Finance</w:t>
      </w:r>
      <w:r w:rsidRPr="00BB3E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E13" w:rsidRPr="00BB3E13">
        <w:rPr>
          <w:rFonts w:ascii="Arial" w:hAnsi="Arial" w:cs="Arial"/>
          <w:color w:val="222222"/>
          <w:sz w:val="20"/>
          <w:szCs w:val="20"/>
        </w:rPr>
        <w:t xml:space="preserve">registered its highest ever quarterly disbursements at Rs. 4,511 </w:t>
      </w:r>
      <w:proofErr w:type="gramStart"/>
      <w:r w:rsidR="00BB3E13" w:rsidRPr="00BB3E13">
        <w:rPr>
          <w:rFonts w:ascii="Arial" w:hAnsi="Arial" w:cs="Arial"/>
          <w:color w:val="222222"/>
          <w:sz w:val="20"/>
          <w:szCs w:val="20"/>
        </w:rPr>
        <w:t>crore</w:t>
      </w:r>
      <w:proofErr w:type="gramEnd"/>
      <w:r w:rsidR="00BB3E13" w:rsidRPr="00BB3E1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B3E13" w:rsidRPr="00BB3E13">
        <w:rPr>
          <w:rFonts w:ascii="Arial" w:hAnsi="Arial" w:cs="Arial"/>
          <w:color w:val="222222"/>
          <w:sz w:val="20"/>
          <w:szCs w:val="20"/>
        </w:rPr>
        <w:t>recording a YoY growth of 18 percent in Q1FY24.</w:t>
      </w:r>
      <w:r w:rsidR="00BB3E13">
        <w:rPr>
          <w:rFonts w:ascii="Arial" w:hAnsi="Arial" w:cs="Arial"/>
          <w:color w:val="222222"/>
          <w:sz w:val="20"/>
          <w:szCs w:val="20"/>
        </w:rPr>
        <w:t xml:space="preserve"> </w:t>
      </w:r>
      <w:r w:rsidR="00BB3E13" w:rsidRPr="00641DB3">
        <w:rPr>
          <w:rFonts w:ascii="Arial" w:hAnsi="Arial" w:cs="Arial"/>
          <w:color w:val="222222"/>
          <w:sz w:val="20"/>
          <w:szCs w:val="20"/>
        </w:rPr>
        <w:t xml:space="preserve"> </w:t>
      </w:r>
      <w:r w:rsidRPr="007D412E">
        <w:rPr>
          <w:rFonts w:ascii="Arial" w:hAnsi="Arial" w:cs="Arial"/>
          <w:color w:val="000000" w:themeColor="text1"/>
          <w:sz w:val="20"/>
          <w:szCs w:val="20"/>
        </w:rPr>
        <w:t xml:space="preserve">The business </w:t>
      </w:r>
      <w:r>
        <w:rPr>
          <w:rFonts w:ascii="Arial" w:hAnsi="Arial" w:cs="Arial"/>
          <w:color w:val="000000" w:themeColor="text1"/>
          <w:sz w:val="20"/>
          <w:szCs w:val="20"/>
        </w:rPr>
        <w:t>was</w:t>
      </w:r>
      <w:r w:rsidRPr="007D412E">
        <w:rPr>
          <w:rFonts w:ascii="Arial" w:hAnsi="Arial" w:cs="Arial"/>
          <w:color w:val="000000" w:themeColor="text1"/>
          <w:sz w:val="20"/>
          <w:szCs w:val="20"/>
        </w:rPr>
        <w:t xml:space="preserve"> aided by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deepened geo-presence in under-penetrated markets, stronger customer retention with healthy share of vintage borrowers. </w:t>
      </w:r>
      <w:r w:rsidRPr="0084103A">
        <w:rPr>
          <w:rFonts w:ascii="Arial" w:hAnsi="Arial" w:cs="Arial"/>
          <w:color w:val="000000" w:themeColor="text1"/>
          <w:sz w:val="20"/>
          <w:szCs w:val="20"/>
        </w:rPr>
        <w:t xml:space="preserve">A pilot </w:t>
      </w:r>
      <w:r w:rsidR="00BB2026">
        <w:rPr>
          <w:rFonts w:ascii="Arial" w:hAnsi="Arial" w:cs="Arial"/>
          <w:color w:val="000000" w:themeColor="text1"/>
          <w:sz w:val="20"/>
          <w:szCs w:val="20"/>
        </w:rPr>
        <w:t>of</w:t>
      </w:r>
      <w:r w:rsidRPr="0084103A">
        <w:rPr>
          <w:rFonts w:ascii="Arial" w:hAnsi="Arial" w:cs="Arial"/>
          <w:color w:val="000000" w:themeColor="text1"/>
          <w:sz w:val="20"/>
          <w:szCs w:val="20"/>
        </w:rPr>
        <w:t xml:space="preserve"> Rural 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oan </w:t>
      </w:r>
      <w:r w:rsidRPr="0084103A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gainst </w:t>
      </w:r>
      <w:r w:rsidRPr="0084103A">
        <w:rPr>
          <w:rFonts w:ascii="Arial" w:hAnsi="Arial" w:cs="Arial"/>
          <w:color w:val="000000" w:themeColor="text1"/>
          <w:sz w:val="20"/>
          <w:szCs w:val="20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>roperty (Rural LAP)</w:t>
      </w:r>
      <w:r w:rsidRPr="0084103A">
        <w:rPr>
          <w:rFonts w:ascii="Arial" w:hAnsi="Arial" w:cs="Arial"/>
          <w:color w:val="000000" w:themeColor="text1"/>
          <w:sz w:val="20"/>
          <w:szCs w:val="20"/>
        </w:rPr>
        <w:t>, the latest offering under the Rural Business Finance umbrella</w:t>
      </w:r>
      <w:r w:rsidR="00BB202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84103A">
        <w:rPr>
          <w:rFonts w:ascii="Arial" w:hAnsi="Arial" w:cs="Arial"/>
          <w:color w:val="000000" w:themeColor="text1"/>
          <w:sz w:val="20"/>
          <w:szCs w:val="20"/>
        </w:rPr>
        <w:t>was also initiated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Madurai, Tamil Nadu.</w:t>
      </w:r>
    </w:p>
    <w:p w14:paraId="1DE02B11" w14:textId="77777777" w:rsidR="005D4AC3" w:rsidRPr="00DE5E9F" w:rsidRDefault="005D4AC3" w:rsidP="005D4AC3">
      <w:pPr>
        <w:pStyle w:val="ListParagraph"/>
        <w:shd w:val="clear" w:color="auto" w:fill="FFFFFF"/>
        <w:tabs>
          <w:tab w:val="left" w:pos="450"/>
        </w:tabs>
        <w:spacing w:line="300" w:lineRule="auto"/>
        <w:ind w:left="360"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E0DC41" w14:textId="77777777" w:rsidR="005D4AC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6D79">
        <w:rPr>
          <w:rFonts w:ascii="Arial" w:hAnsi="Arial" w:cs="Arial"/>
          <w:b/>
          <w:bCs/>
          <w:color w:val="000000" w:themeColor="text1"/>
          <w:sz w:val="20"/>
          <w:szCs w:val="20"/>
        </w:rPr>
        <w:t>Farm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Equipment</w:t>
      </w:r>
      <w:r w:rsidRPr="00CA6D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Finance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disbursements </w:t>
      </w:r>
      <w:r>
        <w:rPr>
          <w:rFonts w:ascii="Arial" w:hAnsi="Arial" w:cs="Arial"/>
          <w:color w:val="000000" w:themeColor="text1"/>
          <w:sz w:val="20"/>
          <w:szCs w:val="20"/>
        </w:rPr>
        <w:t>saw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 a YoY growth of </w:t>
      </w:r>
      <w:r>
        <w:rPr>
          <w:rFonts w:ascii="Arial" w:hAnsi="Arial" w:cs="Arial"/>
          <w:color w:val="000000" w:themeColor="text1"/>
          <w:sz w:val="20"/>
          <w:szCs w:val="20"/>
        </w:rPr>
        <w:t>15</w:t>
      </w:r>
      <w:r w:rsidRPr="00DE5E9F">
        <w:rPr>
          <w:rFonts w:ascii="Arial" w:hAnsi="Arial" w:cs="Arial"/>
          <w:color w:val="000000" w:themeColor="text1"/>
          <w:sz w:val="20"/>
          <w:szCs w:val="20"/>
        </w:rPr>
        <w:t>%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Q1FY24 standing at           Rs. 1,757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. The business witnessed growth on the back of </w:t>
      </w:r>
      <w:r w:rsidRPr="008C018D">
        <w:rPr>
          <w:rFonts w:ascii="Arial" w:hAnsi="Arial" w:cs="Arial"/>
          <w:color w:val="000000" w:themeColor="text1"/>
          <w:sz w:val="20"/>
          <w:szCs w:val="20"/>
        </w:rPr>
        <w:t xml:space="preserve">improved on- field productivity 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enhanced customer retention through Kisan Suvidha top-up and Refinance. </w:t>
      </w:r>
    </w:p>
    <w:p w14:paraId="3C6E827B" w14:textId="77777777" w:rsidR="005D4AC3" w:rsidRPr="007D412E" w:rsidRDefault="005D4AC3" w:rsidP="005D4AC3">
      <w:p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906C7E" w14:textId="6C86CDD6" w:rsidR="005D4AC3" w:rsidRPr="00C832BC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32BC">
        <w:rPr>
          <w:rFonts w:ascii="Arial" w:hAnsi="Arial" w:cs="Arial"/>
          <w:b/>
          <w:bCs/>
          <w:color w:val="000000" w:themeColor="text1"/>
          <w:sz w:val="20"/>
          <w:szCs w:val="20"/>
        </w:rPr>
        <w:t>Two-Wheeler</w:t>
      </w:r>
      <w:r w:rsidR="00927F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832BC">
        <w:rPr>
          <w:rFonts w:ascii="Arial" w:hAnsi="Arial" w:cs="Arial"/>
          <w:b/>
          <w:bCs/>
          <w:color w:val="000000" w:themeColor="text1"/>
          <w:sz w:val="20"/>
          <w:szCs w:val="20"/>
        </w:rPr>
        <w:t>Finance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 witnessed disbursements at Rs. 1,72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C832BC"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 with a </w:t>
      </w:r>
      <w:r>
        <w:rPr>
          <w:rFonts w:ascii="Arial" w:hAnsi="Arial" w:cs="Arial"/>
          <w:color w:val="000000" w:themeColor="text1"/>
          <w:sz w:val="20"/>
          <w:szCs w:val="20"/>
        </w:rPr>
        <w:t>14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>% increase in comparison with Q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>FY2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. The Company continues to focus on </w:t>
      </w:r>
      <w:r w:rsidRPr="00A40420">
        <w:rPr>
          <w:rFonts w:ascii="Arial" w:hAnsi="Arial" w:cs="Arial"/>
          <w:color w:val="000000" w:themeColor="text1"/>
          <w:sz w:val="20"/>
          <w:szCs w:val="20"/>
        </w:rPr>
        <w:t xml:space="preserve">collections led disbursements while 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>building a robust network of dealerships through new initiatives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A40420">
        <w:rPr>
          <w:rFonts w:ascii="Arial" w:hAnsi="Arial" w:cs="Arial"/>
          <w:color w:val="000000" w:themeColor="text1"/>
          <w:sz w:val="20"/>
          <w:szCs w:val="20"/>
        </w:rPr>
        <w:t>The business also witnessed the launch of two new products, Centum and VIP Pro to c</w:t>
      </w:r>
      <w:r>
        <w:rPr>
          <w:rFonts w:ascii="Arial" w:hAnsi="Arial" w:cs="Arial"/>
          <w:color w:val="000000" w:themeColor="text1"/>
          <w:sz w:val="20"/>
          <w:szCs w:val="20"/>
        </w:rPr>
        <w:t>ater</w:t>
      </w:r>
      <w:r w:rsidRPr="00A40420">
        <w:rPr>
          <w:rFonts w:ascii="Arial" w:hAnsi="Arial" w:cs="Arial"/>
          <w:color w:val="000000" w:themeColor="text1"/>
          <w:sz w:val="20"/>
          <w:szCs w:val="20"/>
        </w:rPr>
        <w:t xml:space="preserve"> to better credit profile customer segment.  </w:t>
      </w:r>
    </w:p>
    <w:p w14:paraId="1D9F0660" w14:textId="77777777" w:rsidR="005D4AC3" w:rsidRPr="00F943A0" w:rsidRDefault="005D4AC3" w:rsidP="005D4AC3">
      <w:p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C45A3A" w14:textId="77777777" w:rsidR="005D4AC3" w:rsidRPr="00C832BC" w:rsidRDefault="005D4AC3" w:rsidP="005D4AC3">
      <w:pPr>
        <w:pStyle w:val="ListParagraph"/>
        <w:numPr>
          <w:ilvl w:val="0"/>
          <w:numId w:val="2"/>
        </w:numPr>
        <w:spacing w:line="30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32B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Consumer Loans 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continued to scale up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while protecting portfolio quality 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with Rs. </w:t>
      </w:r>
      <w:r w:rsidRPr="008F25D1">
        <w:rPr>
          <w:rFonts w:ascii="Arial" w:hAnsi="Arial" w:cs="Arial"/>
          <w:color w:val="000000" w:themeColor="text1"/>
          <w:sz w:val="20"/>
          <w:szCs w:val="20"/>
        </w:rPr>
        <w:t>1,162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crore disbursements in </w:t>
      </w:r>
      <w:r>
        <w:rPr>
          <w:rFonts w:ascii="Arial" w:hAnsi="Arial" w:cs="Arial"/>
          <w:color w:val="000000" w:themeColor="text1"/>
          <w:sz w:val="20"/>
          <w:szCs w:val="20"/>
        </w:rPr>
        <w:t>Q1FY24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 compared with Rs. </w:t>
      </w:r>
      <w:r w:rsidRPr="008F25D1">
        <w:rPr>
          <w:rFonts w:ascii="Arial" w:hAnsi="Arial" w:cs="Arial"/>
          <w:color w:val="000000" w:themeColor="text1"/>
          <w:sz w:val="20"/>
          <w:szCs w:val="20"/>
        </w:rPr>
        <w:t>1,010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C832BC"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>
        <w:rPr>
          <w:rFonts w:ascii="Arial" w:hAnsi="Arial" w:cs="Arial"/>
          <w:color w:val="000000" w:themeColor="text1"/>
          <w:sz w:val="20"/>
          <w:szCs w:val="20"/>
        </w:rPr>
        <w:t>Q1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>FY2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 (up 1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C832BC">
        <w:rPr>
          <w:rFonts w:ascii="Arial" w:hAnsi="Arial" w:cs="Arial"/>
          <w:color w:val="000000" w:themeColor="text1"/>
          <w:sz w:val="20"/>
          <w:szCs w:val="20"/>
        </w:rPr>
        <w:t xml:space="preserve">% YoY). </w:t>
      </w:r>
    </w:p>
    <w:p w14:paraId="1FC65C9B" w14:textId="77777777" w:rsidR="005D4AC3" w:rsidRPr="00C832BC" w:rsidRDefault="005D4AC3" w:rsidP="005D4AC3">
      <w:p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DB71C4" w14:textId="77777777" w:rsidR="005D4AC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25D1">
        <w:rPr>
          <w:rFonts w:ascii="Arial" w:hAnsi="Arial" w:cs="Arial"/>
          <w:b/>
          <w:bCs/>
          <w:color w:val="000000" w:themeColor="text1"/>
          <w:sz w:val="20"/>
          <w:szCs w:val="20"/>
        </w:rPr>
        <w:t>Housing Loans and Loans Against Property</w:t>
      </w:r>
      <w:r w:rsidRPr="008F25D1">
        <w:rPr>
          <w:rFonts w:ascii="Arial" w:hAnsi="Arial" w:cs="Arial"/>
          <w:color w:val="000000" w:themeColor="text1"/>
          <w:sz w:val="20"/>
          <w:szCs w:val="20"/>
        </w:rPr>
        <w:t xml:space="preserve"> showed sustained growth momentum in Q1FY24 with a 39% increase in disbursements YoY at Rs. 1,299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8F25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A81C4E" w14:textId="77777777" w:rsidR="005D4AC3" w:rsidRPr="008F25D1" w:rsidRDefault="005D4AC3" w:rsidP="005D4AC3">
      <w:p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2CDB4" w14:textId="77777777" w:rsidR="005D4AC3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F0A3B">
        <w:rPr>
          <w:rFonts w:ascii="Arial" w:hAnsi="Arial" w:cs="Arial"/>
          <w:b/>
          <w:bCs/>
          <w:color w:val="000000" w:themeColor="text1"/>
          <w:sz w:val="20"/>
          <w:szCs w:val="20"/>
        </w:rPr>
        <w:t>SME Loans</w:t>
      </w:r>
      <w:r w:rsidRPr="006F0A3B">
        <w:rPr>
          <w:rFonts w:ascii="Arial" w:hAnsi="Arial" w:cs="Arial"/>
          <w:color w:val="000000" w:themeColor="text1"/>
          <w:sz w:val="20"/>
          <w:szCs w:val="20"/>
        </w:rPr>
        <w:t xml:space="preserve"> also registered robust growth with disbursements at Rs. 607 </w:t>
      </w:r>
      <w:proofErr w:type="gramStart"/>
      <w:r w:rsidRPr="006F0A3B"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 w:rsidRPr="006F0A3B">
        <w:rPr>
          <w:rFonts w:ascii="Arial" w:hAnsi="Arial" w:cs="Arial"/>
          <w:color w:val="000000" w:themeColor="text1"/>
          <w:sz w:val="20"/>
          <w:szCs w:val="20"/>
        </w:rPr>
        <w:t xml:space="preserve"> in Q1FY24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31C3">
        <w:rPr>
          <w:rFonts w:ascii="Arial" w:hAnsi="Arial" w:cs="Arial"/>
          <w:color w:val="000000" w:themeColor="text1"/>
          <w:sz w:val="20"/>
          <w:szCs w:val="20"/>
        </w:rPr>
        <w:t xml:space="preserve">as against a disbursement of Rs. 68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 w:rsidRPr="000631C3">
        <w:rPr>
          <w:rFonts w:ascii="Arial" w:hAnsi="Arial" w:cs="Arial"/>
          <w:color w:val="000000" w:themeColor="text1"/>
          <w:sz w:val="20"/>
          <w:szCs w:val="20"/>
        </w:rPr>
        <w:t xml:space="preserve"> in Q1FY23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631C3">
        <w:rPr>
          <w:rFonts w:ascii="Arial" w:hAnsi="Arial" w:cs="Arial"/>
          <w:color w:val="000000" w:themeColor="text1"/>
          <w:sz w:val="20"/>
          <w:szCs w:val="20"/>
        </w:rPr>
        <w:t>During the quarter,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Pr="000631C3">
        <w:rPr>
          <w:rFonts w:ascii="Arial" w:hAnsi="Arial" w:cs="Arial"/>
          <w:color w:val="000000" w:themeColor="text1"/>
          <w:sz w:val="20"/>
          <w:szCs w:val="20"/>
        </w:rPr>
        <w:t xml:space="preserve">business crossed overall disbursements of Rs. 2,000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crore</w:t>
      </w:r>
      <w:proofErr w:type="gramEnd"/>
      <w:r w:rsidRPr="000631C3">
        <w:rPr>
          <w:rFonts w:ascii="Arial" w:hAnsi="Arial" w:cs="Arial"/>
          <w:color w:val="000000" w:themeColor="text1"/>
          <w:sz w:val="20"/>
          <w:szCs w:val="20"/>
        </w:rPr>
        <w:t xml:space="preserve"> since inception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631C3">
        <w:rPr>
          <w:rFonts w:ascii="Arial" w:hAnsi="Arial" w:cs="Arial"/>
          <w:color w:val="000000" w:themeColor="text1"/>
          <w:sz w:val="20"/>
          <w:szCs w:val="20"/>
        </w:rPr>
        <w:t xml:space="preserve">on the back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Pr="000631C3">
        <w:rPr>
          <w:rFonts w:ascii="Arial" w:hAnsi="Arial" w:cs="Arial"/>
          <w:color w:val="000000" w:themeColor="text1"/>
          <w:sz w:val="20"/>
          <w:szCs w:val="20"/>
        </w:rPr>
        <w:t>increased geographical presence and concerted efforts towards digitization and channel expansion.</w:t>
      </w:r>
    </w:p>
    <w:p w14:paraId="37AA4569" w14:textId="77777777" w:rsidR="005D4AC3" w:rsidRPr="00B17AD6" w:rsidRDefault="005D4AC3" w:rsidP="005D4AC3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A35B0E0" w14:textId="77777777" w:rsidR="005D4AC3" w:rsidRPr="00B17AD6" w:rsidRDefault="005D4AC3" w:rsidP="005D4AC3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7AD6">
        <w:rPr>
          <w:rFonts w:ascii="Arial" w:hAnsi="Arial" w:cs="Arial"/>
          <w:color w:val="000000" w:themeColor="text1"/>
          <w:sz w:val="20"/>
          <w:szCs w:val="20"/>
        </w:rPr>
        <w:t>Maintained strong collection efficiency across retail businesses through enhanced on-ground efforts, digital initiatives and data analytics-based resource allocation</w:t>
      </w:r>
    </w:p>
    <w:p w14:paraId="18CF5227" w14:textId="77777777" w:rsidR="005D4AC3" w:rsidRPr="008F6E64" w:rsidRDefault="005D4AC3" w:rsidP="005D4AC3">
      <w:pPr>
        <w:pStyle w:val="ListParagraph"/>
        <w:shd w:val="clear" w:color="auto" w:fill="FFFFFF"/>
        <w:tabs>
          <w:tab w:val="left" w:pos="450"/>
        </w:tabs>
        <w:spacing w:line="300" w:lineRule="auto"/>
        <w:ind w:left="360"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8F4E4D" w14:textId="77777777" w:rsidR="005D4AC3" w:rsidRPr="00DB1A41" w:rsidRDefault="005D4AC3" w:rsidP="005D4AC3">
      <w:pPr>
        <w:pStyle w:val="ListParagraph"/>
        <w:numPr>
          <w:ilvl w:val="0"/>
          <w:numId w:val="4"/>
        </w:numPr>
        <w:shd w:val="clear" w:color="auto" w:fill="FFFFFF"/>
        <w:spacing w:line="300" w:lineRule="auto"/>
        <w:ind w:right="-4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1A4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Accelerated Reduction of the Wholesale portfolio</w:t>
      </w:r>
    </w:p>
    <w:p w14:paraId="68BBB949" w14:textId="77777777" w:rsidR="005D4AC3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1A41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Pr="00DB1A41">
        <w:rPr>
          <w:rFonts w:ascii="Arial" w:hAnsi="Arial" w:cs="Arial"/>
          <w:color w:val="000000" w:themeColor="text1"/>
          <w:sz w:val="20"/>
          <w:szCs w:val="20"/>
        </w:rPr>
        <w:t>holesale book saw an accelerated and steep reduction of 65% YoY i.e., a reduction of Rs, 25,992 crore YoY, while registering a reduction of Rs.5,548 crore in Q1FY24 itself. This is in line with the Lakshya strategy of strongly growing the retail book while sharply reducing Wholesale.</w:t>
      </w:r>
    </w:p>
    <w:p w14:paraId="04C01325" w14:textId="77777777" w:rsidR="005D4AC3" w:rsidRPr="00DB1A41" w:rsidRDefault="005D4AC3" w:rsidP="005D4AC3">
      <w:pPr>
        <w:shd w:val="clear" w:color="auto" w:fill="FFFFFF"/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AB1BF3" w14:textId="77777777" w:rsidR="005D4AC3" w:rsidRDefault="005D4AC3" w:rsidP="005D4AC3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3B51B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Moving to a Single Lending Entity</w:t>
      </w:r>
    </w:p>
    <w:p w14:paraId="5A5C2B3E" w14:textId="58DE878E" w:rsidR="005D4AC3" w:rsidRDefault="005D4AC3" w:rsidP="005D4AC3">
      <w:pPr>
        <w:shd w:val="clear" w:color="auto" w:fill="FFFFFF"/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D1EDC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In the fourth quarter of FY23, LTFH had also initiated the merger of its subsidiaries - L&amp;T Finance Ltd., L&amp;T Infra Credit Ltd. and L&amp;T Mutual Fund Trustee Ltd. with itself i.e., the equity-listed holding company. This strategic initiative was undertaken with the intent of having the ‘Right Structure’ in place. The proposed merger has been progressing well and the creditors and /or shareholders meeting </w:t>
      </w:r>
      <w:r w:rsidR="0073267C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to be convened, </w:t>
      </w:r>
      <w:r w:rsidRPr="002E56D0">
        <w:rPr>
          <w:rFonts w:ascii="Arial" w:eastAsiaTheme="minorHAnsi" w:hAnsi="Arial" w:cs="Arial"/>
          <w:color w:val="000000" w:themeColor="text1"/>
          <w:sz w:val="20"/>
          <w:szCs w:val="20"/>
        </w:rPr>
        <w:t>pursuant to the directions of NCLT</w:t>
      </w:r>
      <w:r w:rsidR="00C5333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2E56D0">
        <w:rPr>
          <w:rFonts w:ascii="Arial" w:eastAsiaTheme="minorHAnsi" w:hAnsi="Arial" w:cs="Arial"/>
          <w:color w:val="000000" w:themeColor="text1"/>
          <w:sz w:val="20"/>
          <w:szCs w:val="20"/>
        </w:rPr>
        <w:t>takes LTFH a step closer to creat</w:t>
      </w:r>
      <w:r w:rsidR="00C5333B">
        <w:rPr>
          <w:rFonts w:ascii="Arial" w:eastAsiaTheme="minorHAnsi" w:hAnsi="Arial" w:cs="Arial"/>
          <w:color w:val="000000" w:themeColor="text1"/>
          <w:sz w:val="20"/>
          <w:szCs w:val="20"/>
        </w:rPr>
        <w:t>ing a</w:t>
      </w:r>
      <w:r w:rsidRPr="002E56D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BD1EDC">
        <w:rPr>
          <w:rFonts w:ascii="Arial" w:eastAsiaTheme="minorHAnsi" w:hAnsi="Arial" w:cs="Arial"/>
          <w:color w:val="000000" w:themeColor="text1"/>
          <w:sz w:val="20"/>
          <w:szCs w:val="20"/>
        </w:rPr>
        <w:t>single lending entity.</w:t>
      </w:r>
    </w:p>
    <w:p w14:paraId="04D356BE" w14:textId="77777777" w:rsidR="0017458A" w:rsidRDefault="0017458A" w:rsidP="005D4AC3">
      <w:pPr>
        <w:shd w:val="clear" w:color="auto" w:fill="FFFFFF"/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CF3CDEE" w14:textId="77777777" w:rsidR="005D4AC3" w:rsidRPr="00D255AB" w:rsidRDefault="005D4AC3" w:rsidP="005D4AC3">
      <w:pPr>
        <w:shd w:val="clear" w:color="auto" w:fill="FFFFFF"/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02FE639" w14:textId="77777777" w:rsidR="005D4AC3" w:rsidRPr="002F489C" w:rsidRDefault="005D4AC3" w:rsidP="005D4AC3">
      <w:pPr>
        <w:pStyle w:val="ListParagraph"/>
        <w:numPr>
          <w:ilvl w:val="0"/>
          <w:numId w:val="4"/>
        </w:numPr>
        <w:shd w:val="clear" w:color="auto" w:fill="FFFFFF"/>
        <w:spacing w:line="300" w:lineRule="auto"/>
        <w:ind w:right="-45"/>
        <w:jc w:val="both"/>
      </w:pPr>
      <w:r w:rsidRPr="00110C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Building a </w:t>
      </w:r>
      <w:proofErr w:type="spellStart"/>
      <w:r w:rsidRPr="00110C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Fintech@Scale</w:t>
      </w:r>
      <w:proofErr w:type="spellEnd"/>
    </w:p>
    <w:p w14:paraId="589FEC7A" w14:textId="61E6B897" w:rsidR="005D4AC3" w:rsidRDefault="005D4AC3" w:rsidP="005D4AC3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LTFH is d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 xml:space="preserve">eveloping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 xml:space="preserve">igital </w:t>
      </w:r>
      <w:r>
        <w:rPr>
          <w:rFonts w:ascii="Arial" w:hAnsi="Arial" w:cs="Arial"/>
          <w:color w:val="000000" w:themeColor="text1"/>
          <w:sz w:val="20"/>
          <w:szCs w:val="20"/>
        </w:rPr>
        <w:t>f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 xml:space="preserve">inance 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>elivery as a customer value proposition</w:t>
      </w:r>
      <w:r>
        <w:rPr>
          <w:rFonts w:ascii="Arial" w:hAnsi="Arial" w:cs="Arial"/>
          <w:color w:val="000000" w:themeColor="text1"/>
          <w:sz w:val="20"/>
          <w:szCs w:val="20"/>
        </w:rPr>
        <w:t>. The Company is focused on t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>ouching every part of the customer ecosystem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has a c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 xml:space="preserve">ustomer focused digital first approach in not only 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 xml:space="preserve">rban but also in </w:t>
      </w: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Pr="000F5695">
        <w:rPr>
          <w:rFonts w:ascii="Arial" w:hAnsi="Arial" w:cs="Arial"/>
          <w:color w:val="000000" w:themeColor="text1"/>
          <w:sz w:val="20"/>
          <w:szCs w:val="20"/>
        </w:rPr>
        <w:t>ural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The Company offers </w:t>
      </w:r>
      <w:r w:rsidRPr="009008CB">
        <w:rPr>
          <w:rFonts w:ascii="Arial" w:hAnsi="Arial" w:cs="Arial"/>
          <w:color w:val="000000" w:themeColor="text1"/>
          <w:sz w:val="20"/>
          <w:szCs w:val="20"/>
        </w:rPr>
        <w:t>100% paperless journey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Rural Group Loans and Micro Finance, Two-wheeler Finance</w:t>
      </w:r>
      <w:r w:rsidR="0018628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Farm Equipment Finance</w:t>
      </w:r>
      <w:r w:rsidR="00186283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6283">
        <w:rPr>
          <w:rFonts w:ascii="Arial" w:hAnsi="Arial" w:cs="Arial"/>
          <w:color w:val="000000" w:themeColor="text1"/>
          <w:sz w:val="20"/>
          <w:szCs w:val="20"/>
        </w:rPr>
        <w:t xml:space="preserve">Consumer Loans </w:t>
      </w:r>
      <w:r w:rsidR="008E49D6">
        <w:rPr>
          <w:rFonts w:ascii="Arial" w:hAnsi="Arial" w:cs="Arial"/>
          <w:color w:val="000000" w:themeColor="text1"/>
          <w:sz w:val="20"/>
          <w:szCs w:val="20"/>
        </w:rPr>
        <w:t>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digitally disburs</w:t>
      </w:r>
      <w:r w:rsidR="008E49D6">
        <w:rPr>
          <w:rFonts w:ascii="Arial" w:hAnsi="Arial" w:cs="Arial"/>
          <w:color w:val="000000" w:themeColor="text1"/>
          <w:sz w:val="20"/>
          <w:szCs w:val="20"/>
        </w:rPr>
        <w:t>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100% of the loans in urban and rural areas during the quarter. The Company </w:t>
      </w:r>
      <w:r w:rsidRPr="002F489C">
        <w:rPr>
          <w:rFonts w:ascii="Arial" w:hAnsi="Arial" w:cs="Arial"/>
          <w:color w:val="000000" w:themeColor="text1"/>
          <w:sz w:val="20"/>
          <w:szCs w:val="20"/>
        </w:rPr>
        <w:t>continues to cross-sell and up-sell to its large data base of more than 2</w:t>
      </w:r>
      <w:r>
        <w:rPr>
          <w:rFonts w:ascii="Arial" w:hAnsi="Arial" w:cs="Arial"/>
          <w:color w:val="000000" w:themeColor="text1"/>
          <w:sz w:val="20"/>
          <w:szCs w:val="20"/>
        </w:rPr>
        <w:t>.1</w:t>
      </w:r>
      <w:r w:rsidRPr="002F489C">
        <w:rPr>
          <w:rFonts w:ascii="Arial" w:hAnsi="Arial" w:cs="Arial"/>
          <w:color w:val="000000" w:themeColor="text1"/>
          <w:sz w:val="20"/>
          <w:szCs w:val="20"/>
        </w:rPr>
        <w:t xml:space="preserve"> crore customers by leveraging technology and us</w:t>
      </w:r>
      <w:r w:rsidR="008E49D6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2F48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49D6">
        <w:rPr>
          <w:rFonts w:ascii="Arial" w:hAnsi="Arial" w:cs="Arial"/>
          <w:color w:val="000000" w:themeColor="text1"/>
          <w:sz w:val="20"/>
          <w:szCs w:val="20"/>
        </w:rPr>
        <w:t>d</w:t>
      </w:r>
      <w:r w:rsidRPr="002F489C">
        <w:rPr>
          <w:rFonts w:ascii="Arial" w:hAnsi="Arial" w:cs="Arial"/>
          <w:color w:val="000000" w:themeColor="text1"/>
          <w:sz w:val="20"/>
          <w:szCs w:val="20"/>
        </w:rPr>
        <w:t>ata analytic</w:t>
      </w:r>
      <w:r w:rsidR="008E49D6">
        <w:rPr>
          <w:rFonts w:ascii="Arial" w:hAnsi="Arial" w:cs="Arial"/>
          <w:color w:val="000000" w:themeColor="text1"/>
          <w:sz w:val="20"/>
          <w:szCs w:val="20"/>
        </w:rPr>
        <w:t>s</w:t>
      </w:r>
      <w:r w:rsidRPr="002F489C">
        <w:rPr>
          <w:rFonts w:ascii="Arial" w:hAnsi="Arial" w:cs="Arial"/>
          <w:color w:val="000000" w:themeColor="text1"/>
          <w:sz w:val="20"/>
          <w:szCs w:val="20"/>
        </w:rPr>
        <w:t xml:space="preserve">. The ability of the company to deliver industry-leading collection efficiencies and Turn-Around-Time across retail products are visible results of adopting a </w:t>
      </w:r>
      <w:proofErr w:type="spellStart"/>
      <w:r w:rsidRPr="002F489C">
        <w:rPr>
          <w:rFonts w:ascii="Arial" w:hAnsi="Arial" w:cs="Arial"/>
          <w:color w:val="000000" w:themeColor="text1"/>
          <w:sz w:val="20"/>
          <w:szCs w:val="20"/>
        </w:rPr>
        <w:t>Fintech@Scale</w:t>
      </w:r>
      <w:proofErr w:type="spellEnd"/>
      <w:r w:rsidRPr="002F489C">
        <w:rPr>
          <w:rFonts w:ascii="Arial" w:hAnsi="Arial" w:cs="Arial"/>
          <w:color w:val="000000" w:themeColor="text1"/>
          <w:sz w:val="20"/>
          <w:szCs w:val="20"/>
        </w:rPr>
        <w:t xml:space="preserve"> approach.</w:t>
      </w:r>
    </w:p>
    <w:p w14:paraId="0A3FE103" w14:textId="77777777" w:rsidR="005D4AC3" w:rsidRDefault="005D4AC3" w:rsidP="005D4AC3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A7D7A7" w14:textId="0AEF36B9" w:rsidR="005D4AC3" w:rsidRDefault="005D4AC3" w:rsidP="005D4AC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Our customer facing application - </w:t>
      </w:r>
      <w:r w:rsidRPr="00110CED">
        <w:rPr>
          <w:rFonts w:ascii="Arial" w:hAnsi="Arial" w:cs="Arial"/>
          <w:color w:val="000000" w:themeColor="text1"/>
          <w:sz w:val="20"/>
          <w:szCs w:val="20"/>
        </w:rPr>
        <w:t xml:space="preserve">PLANET app,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which was soft launched in Q4FY22 has emerged as a powerful digital channel for </w:t>
      </w:r>
      <w:r w:rsidR="001B72F8">
        <w:rPr>
          <w:rFonts w:ascii="Arial" w:hAnsi="Arial" w:cs="Arial"/>
          <w:color w:val="000000" w:themeColor="text1"/>
          <w:sz w:val="20"/>
          <w:szCs w:val="20"/>
        </w:rPr>
        <w:t xml:space="preserve">our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customers. </w:t>
      </w:r>
      <w:r w:rsidRPr="002F489C">
        <w:rPr>
          <w:rFonts w:ascii="Arial" w:hAnsi="Arial" w:cs="Arial"/>
          <w:color w:val="000000" w:themeColor="text1"/>
          <w:sz w:val="20"/>
          <w:szCs w:val="20"/>
        </w:rPr>
        <w:t>It is built on the foundation of reimagining customer engagement by creating an augmented Direct 2 Customer (D2C) channel. The app serves as a geo-</w:t>
      </w:r>
      <w:r w:rsidRPr="005D4AC3">
        <w:rPr>
          <w:rFonts w:ascii="Arial" w:hAnsi="Arial" w:cs="Arial"/>
          <w:color w:val="000000" w:themeColor="text1"/>
          <w:sz w:val="20"/>
          <w:szCs w:val="20"/>
        </w:rPr>
        <w:t xml:space="preserve">agnostic sourcing, collections and servicing channel with customer-centric features. </w:t>
      </w:r>
      <w:r w:rsidRPr="005D4AC3">
        <w:rPr>
          <w:rFonts w:ascii="Arial" w:hAnsi="Arial" w:cs="Arial"/>
          <w:color w:val="222222"/>
          <w:sz w:val="20"/>
          <w:szCs w:val="20"/>
        </w:rPr>
        <w:t>The also provides multiple other features like Mandi Prices, Insurance Marketplace, Credit Score, etc.</w:t>
      </w:r>
      <w:r w:rsidR="00AD57F4">
        <w:rPr>
          <w:rFonts w:ascii="Arial" w:hAnsi="Arial" w:cs="Arial"/>
          <w:color w:val="222222"/>
          <w:sz w:val="20"/>
          <w:szCs w:val="20"/>
        </w:rPr>
        <w:t xml:space="preserve"> The app 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has already crossed 44 lakh downloads till date, which also comprises of more </w:t>
      </w:r>
      <w:r w:rsidRPr="00E713FF">
        <w:rPr>
          <w:rFonts w:ascii="Arial" w:hAnsi="Arial" w:cs="Arial"/>
          <w:color w:val="222222"/>
          <w:sz w:val="20"/>
          <w:szCs w:val="20"/>
        </w:rPr>
        <w:t>than 4.</w:t>
      </w:r>
      <w:r w:rsidR="00D12EE0" w:rsidRPr="00E713FF">
        <w:rPr>
          <w:rFonts w:ascii="Arial" w:hAnsi="Arial" w:cs="Arial"/>
          <w:color w:val="222222"/>
          <w:sz w:val="20"/>
          <w:szCs w:val="20"/>
        </w:rPr>
        <w:t>3</w:t>
      </w:r>
      <w:r w:rsidRPr="00E713FF">
        <w:rPr>
          <w:rFonts w:ascii="Arial" w:hAnsi="Arial" w:cs="Arial"/>
          <w:color w:val="222222"/>
          <w:sz w:val="20"/>
          <w:szCs w:val="20"/>
        </w:rPr>
        <w:t xml:space="preserve"> lakh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 downloads by our rural customers. </w:t>
      </w:r>
      <w:r w:rsidR="00D12EE0">
        <w:rPr>
          <w:rFonts w:ascii="Arial" w:hAnsi="Arial" w:cs="Arial"/>
          <w:color w:val="222222"/>
          <w:sz w:val="20"/>
          <w:szCs w:val="20"/>
        </w:rPr>
        <w:t>As on date</w:t>
      </w:r>
      <w:r w:rsidR="004A0A56">
        <w:rPr>
          <w:rFonts w:ascii="Arial" w:hAnsi="Arial" w:cs="Arial"/>
          <w:color w:val="222222"/>
          <w:sz w:val="20"/>
          <w:szCs w:val="20"/>
        </w:rPr>
        <w:t xml:space="preserve"> 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this channel </w:t>
      </w:r>
      <w:r w:rsidR="00E713FF">
        <w:rPr>
          <w:rFonts w:ascii="Arial" w:hAnsi="Arial" w:cs="Arial"/>
          <w:color w:val="222222"/>
          <w:sz w:val="20"/>
          <w:szCs w:val="20"/>
        </w:rPr>
        <w:t>has done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 collections of more than Rs. 360 </w:t>
      </w:r>
      <w:proofErr w:type="gramStart"/>
      <w:r w:rsidRPr="005D4AC3">
        <w:rPr>
          <w:rFonts w:ascii="Arial" w:hAnsi="Arial" w:cs="Arial"/>
          <w:color w:val="222222"/>
          <w:sz w:val="20"/>
          <w:szCs w:val="20"/>
        </w:rPr>
        <w:t>crore</w:t>
      </w:r>
      <w:proofErr w:type="gramEnd"/>
      <w:r w:rsidRPr="005D4AC3">
        <w:rPr>
          <w:rFonts w:ascii="Arial" w:hAnsi="Arial" w:cs="Arial"/>
          <w:color w:val="222222"/>
          <w:sz w:val="20"/>
          <w:szCs w:val="20"/>
        </w:rPr>
        <w:t xml:space="preserve"> </w:t>
      </w:r>
      <w:r w:rsidR="00E713FF">
        <w:rPr>
          <w:rFonts w:ascii="Arial" w:hAnsi="Arial" w:cs="Arial"/>
          <w:color w:val="222222"/>
          <w:sz w:val="20"/>
          <w:szCs w:val="20"/>
        </w:rPr>
        <w:t>while</w:t>
      </w:r>
      <w:r w:rsidR="00D12EE0">
        <w:rPr>
          <w:rFonts w:ascii="Arial" w:hAnsi="Arial" w:cs="Arial"/>
          <w:color w:val="222222"/>
          <w:sz w:val="20"/>
          <w:szCs w:val="20"/>
        </w:rPr>
        <w:t xml:space="preserve"> </w:t>
      </w:r>
      <w:r w:rsidRPr="005D4AC3">
        <w:rPr>
          <w:rFonts w:ascii="Arial" w:hAnsi="Arial" w:cs="Arial"/>
          <w:color w:val="222222"/>
          <w:sz w:val="20"/>
          <w:szCs w:val="20"/>
        </w:rPr>
        <w:t>servic</w:t>
      </w:r>
      <w:r w:rsidR="00E713FF">
        <w:rPr>
          <w:rFonts w:ascii="Arial" w:hAnsi="Arial" w:cs="Arial"/>
          <w:color w:val="222222"/>
          <w:sz w:val="20"/>
          <w:szCs w:val="20"/>
        </w:rPr>
        <w:t>ing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 more than 67 lakh requests</w:t>
      </w:r>
      <w:r w:rsidR="00D12EE0">
        <w:rPr>
          <w:rFonts w:ascii="Arial" w:hAnsi="Arial" w:cs="Arial"/>
          <w:color w:val="222222"/>
          <w:sz w:val="20"/>
          <w:szCs w:val="20"/>
        </w:rPr>
        <w:t xml:space="preserve"> </w:t>
      </w:r>
      <w:r w:rsidR="00E713FF">
        <w:rPr>
          <w:rFonts w:ascii="Arial" w:hAnsi="Arial" w:cs="Arial"/>
          <w:color w:val="222222"/>
          <w:sz w:val="20"/>
          <w:szCs w:val="20"/>
        </w:rPr>
        <w:t>and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 sourcing</w:t>
      </w:r>
      <w:r w:rsidR="00E713FF">
        <w:rPr>
          <w:rFonts w:ascii="Arial" w:hAnsi="Arial" w:cs="Arial"/>
          <w:color w:val="222222"/>
          <w:sz w:val="20"/>
          <w:szCs w:val="20"/>
        </w:rPr>
        <w:t xml:space="preserve"> loans of</w:t>
      </w:r>
      <w:r w:rsidRPr="005D4AC3">
        <w:rPr>
          <w:rFonts w:ascii="Arial" w:hAnsi="Arial" w:cs="Arial"/>
          <w:color w:val="222222"/>
          <w:sz w:val="20"/>
          <w:szCs w:val="20"/>
        </w:rPr>
        <w:t xml:space="preserve"> more than Rs. 3,000 </w:t>
      </w:r>
      <w:proofErr w:type="gramStart"/>
      <w:r w:rsidRPr="005D4AC3">
        <w:rPr>
          <w:rFonts w:ascii="Arial" w:hAnsi="Arial" w:cs="Arial"/>
          <w:color w:val="222222"/>
          <w:sz w:val="20"/>
          <w:szCs w:val="20"/>
        </w:rPr>
        <w:t>crore</w:t>
      </w:r>
      <w:proofErr w:type="gramEnd"/>
      <w:r w:rsidRPr="005D4AC3">
        <w:rPr>
          <w:rFonts w:ascii="Arial" w:hAnsi="Arial" w:cs="Arial"/>
          <w:color w:val="222222"/>
          <w:sz w:val="20"/>
          <w:szCs w:val="20"/>
        </w:rPr>
        <w:t xml:space="preserve"> (including web).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508F7E8" w14:textId="77777777" w:rsidR="005D4AC3" w:rsidRPr="00110CED" w:rsidRDefault="005D4AC3" w:rsidP="005D4AC3">
      <w:pPr>
        <w:shd w:val="clear" w:color="auto" w:fill="FFFFFF"/>
        <w:tabs>
          <w:tab w:val="left" w:pos="450"/>
        </w:tabs>
        <w:spacing w:line="300" w:lineRule="auto"/>
        <w:ind w:right="-4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B821A" w14:textId="77777777" w:rsidR="005D4AC3" w:rsidRDefault="005D4AC3" w:rsidP="005D4AC3">
      <w:pPr>
        <w:pStyle w:val="ListParagraph"/>
        <w:numPr>
          <w:ilvl w:val="0"/>
          <w:numId w:val="4"/>
        </w:numPr>
        <w:spacing w:line="30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3B51B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ESG and CSR initiatives </w:t>
      </w:r>
    </w:p>
    <w:p w14:paraId="5E5B2557" w14:textId="77777777" w:rsidR="005D4AC3" w:rsidRDefault="005D4AC3" w:rsidP="005D4AC3">
      <w:p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When it comes to ESG and CSR, t</w:t>
      </w:r>
      <w:r w:rsidRPr="00110CED">
        <w:rPr>
          <w:rFonts w:ascii="Arial" w:hAnsi="Arial" w:cs="Arial"/>
          <w:color w:val="000000"/>
          <w:sz w:val="20"/>
          <w:szCs w:val="20"/>
        </w:rPr>
        <w:t xml:space="preserve">he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110CED">
        <w:rPr>
          <w:rFonts w:ascii="Arial" w:hAnsi="Arial" w:cs="Arial"/>
          <w:color w:val="000000"/>
          <w:sz w:val="20"/>
          <w:szCs w:val="20"/>
        </w:rPr>
        <w:t>ompany has been at the forefront</w:t>
      </w:r>
      <w:r>
        <w:rPr>
          <w:rFonts w:ascii="Arial" w:hAnsi="Arial" w:cs="Arial"/>
          <w:color w:val="000000"/>
          <w:sz w:val="20"/>
          <w:szCs w:val="20"/>
        </w:rPr>
        <w:t xml:space="preserve">. The following are the key developments during the quarter: </w:t>
      </w:r>
    </w:p>
    <w:p w14:paraId="69B46B38" w14:textId="77777777" w:rsidR="005D4AC3" w:rsidRDefault="005D4AC3" w:rsidP="005D4AC3">
      <w:p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8243C5" w14:textId="77777777" w:rsidR="005D4AC3" w:rsidRPr="009A07E5" w:rsidRDefault="005D4AC3" w:rsidP="005D4AC3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07E5">
        <w:rPr>
          <w:rFonts w:ascii="Arial" w:hAnsi="Arial" w:cs="Arial"/>
          <w:color w:val="000000"/>
          <w:sz w:val="20"/>
          <w:szCs w:val="20"/>
        </w:rPr>
        <w:t>Release of the first Integrated Annual Report (IAR) FY23 assured by independent third-party assurance provider</w:t>
      </w:r>
    </w:p>
    <w:p w14:paraId="256EC325" w14:textId="77777777" w:rsidR="005D4AC3" w:rsidRPr="009A07E5" w:rsidRDefault="005D4AC3" w:rsidP="005D4AC3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07E5">
        <w:rPr>
          <w:rFonts w:ascii="Arial" w:hAnsi="Arial" w:cs="Arial"/>
          <w:color w:val="000000"/>
          <w:sz w:val="20"/>
          <w:szCs w:val="20"/>
        </w:rPr>
        <w:t xml:space="preserve">Voluntary assurance of </w:t>
      </w:r>
      <w:r w:rsidRPr="00065045">
        <w:rPr>
          <w:rFonts w:ascii="Arial" w:hAnsi="Arial" w:cs="Arial"/>
          <w:color w:val="000000"/>
          <w:sz w:val="20"/>
          <w:szCs w:val="20"/>
        </w:rPr>
        <w:t>Business Responsibility and Sustainability Reporting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9A07E5">
        <w:rPr>
          <w:rFonts w:ascii="Arial" w:hAnsi="Arial" w:cs="Arial"/>
          <w:color w:val="000000"/>
          <w:sz w:val="20"/>
          <w:szCs w:val="20"/>
        </w:rPr>
        <w:t>BRSR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9A07E5">
        <w:rPr>
          <w:rFonts w:ascii="Arial" w:hAnsi="Arial" w:cs="Arial"/>
          <w:color w:val="000000"/>
          <w:sz w:val="20"/>
          <w:szCs w:val="20"/>
        </w:rPr>
        <w:t xml:space="preserve"> by independent third-party assurance provider</w:t>
      </w:r>
    </w:p>
    <w:p w14:paraId="25412F78" w14:textId="77777777" w:rsidR="005D4AC3" w:rsidRPr="009A07E5" w:rsidRDefault="005D4AC3" w:rsidP="005D4AC3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07E5">
        <w:rPr>
          <w:rFonts w:ascii="Arial" w:hAnsi="Arial" w:cs="Arial"/>
          <w:color w:val="000000"/>
          <w:sz w:val="20"/>
          <w:szCs w:val="20"/>
        </w:rPr>
        <w:t xml:space="preserve">Retained the constituent of FTSE4GoodIndex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9A07E5">
        <w:rPr>
          <w:rFonts w:ascii="Arial" w:hAnsi="Arial" w:cs="Arial"/>
          <w:color w:val="000000"/>
          <w:sz w:val="20"/>
          <w:szCs w:val="20"/>
        </w:rPr>
        <w:t>eries</w:t>
      </w:r>
    </w:p>
    <w:p w14:paraId="50C6DDF1" w14:textId="77777777" w:rsidR="005D4AC3" w:rsidRPr="009A07E5" w:rsidRDefault="005D4AC3" w:rsidP="005D4AC3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07E5">
        <w:rPr>
          <w:rFonts w:ascii="Arial" w:hAnsi="Arial" w:cs="Arial"/>
          <w:color w:val="000000"/>
          <w:sz w:val="20"/>
          <w:szCs w:val="20"/>
        </w:rPr>
        <w:t>7,477 electr</w:t>
      </w:r>
      <w:r>
        <w:rPr>
          <w:rFonts w:ascii="Arial" w:hAnsi="Arial" w:cs="Arial"/>
          <w:color w:val="000000"/>
          <w:sz w:val="20"/>
          <w:szCs w:val="20"/>
        </w:rPr>
        <w:t>ic v</w:t>
      </w:r>
      <w:r w:rsidRPr="009A07E5">
        <w:rPr>
          <w:rFonts w:ascii="Arial" w:hAnsi="Arial" w:cs="Arial"/>
          <w:color w:val="000000"/>
          <w:sz w:val="20"/>
          <w:szCs w:val="20"/>
        </w:rPr>
        <w:t>ehicles financed in Q1</w:t>
      </w:r>
      <w:r>
        <w:rPr>
          <w:rFonts w:ascii="Arial" w:hAnsi="Arial" w:cs="Arial"/>
          <w:color w:val="000000"/>
          <w:sz w:val="20"/>
          <w:szCs w:val="20"/>
        </w:rPr>
        <w:t>FY24</w:t>
      </w:r>
    </w:p>
    <w:p w14:paraId="62EA1655" w14:textId="77777777" w:rsidR="005D4AC3" w:rsidRPr="009A07E5" w:rsidRDefault="005D4AC3" w:rsidP="005D4AC3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07E5">
        <w:rPr>
          <w:rFonts w:ascii="Arial" w:hAnsi="Arial" w:cs="Arial"/>
          <w:color w:val="000000"/>
          <w:sz w:val="20"/>
          <w:szCs w:val="20"/>
        </w:rPr>
        <w:t xml:space="preserve">Received ISO 20000-1:2018 (Service Management System or IT Service Management System) Certification </w:t>
      </w:r>
    </w:p>
    <w:p w14:paraId="38FE7AC2" w14:textId="4955A680" w:rsidR="005D4AC3" w:rsidRPr="00090B06" w:rsidRDefault="005D4AC3" w:rsidP="005D4AC3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090B06">
        <w:rPr>
          <w:rFonts w:ascii="Arial" w:hAnsi="Arial" w:cs="Arial"/>
          <w:color w:val="000000"/>
          <w:sz w:val="20"/>
          <w:szCs w:val="20"/>
        </w:rPr>
        <w:t>Digital Sakhi project launched in Madurai and Tamil Nadu with an aim to create digital and financial literacy amongst 5,00,000 plus community members</w:t>
      </w:r>
    </w:p>
    <w:p w14:paraId="5E58B4B1" w14:textId="77777777" w:rsidR="00090B06" w:rsidRPr="00090B06" w:rsidRDefault="00090B06" w:rsidP="00090B06">
      <w:pPr>
        <w:pStyle w:val="ListParagraph"/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14:paraId="15B825AB" w14:textId="77777777" w:rsidR="005D4AC3" w:rsidRPr="00110CED" w:rsidRDefault="005D4AC3" w:rsidP="005D4AC3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10CE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About L&amp;T Finance Holdings (LTFH): </w:t>
      </w:r>
    </w:p>
    <w:p w14:paraId="5489C5A5" w14:textId="48B57D48" w:rsidR="005D4AC3" w:rsidRPr="00110CED" w:rsidRDefault="005D4AC3" w:rsidP="005D4AC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10CED">
        <w:rPr>
          <w:rFonts w:ascii="Arial" w:hAnsi="Arial" w:cs="Arial"/>
          <w:color w:val="222222"/>
          <w:sz w:val="16"/>
          <w:szCs w:val="16"/>
        </w:rPr>
        <w:t xml:space="preserve">L&amp;T Finance Holdings Limited (LTFH) (https://www.ltfs.com), a leading Non-Banking Financial Company (NBFC), offers a range of financial products and services through its subsidiary L&amp;T Finance Ltd. (LTF) under the L&amp;T Finance brand. Headquartered in Mumbai, the </w:t>
      </w:r>
      <w:r>
        <w:rPr>
          <w:rFonts w:ascii="Arial" w:hAnsi="Arial" w:cs="Arial"/>
          <w:color w:val="222222"/>
          <w:sz w:val="16"/>
          <w:szCs w:val="16"/>
        </w:rPr>
        <w:t>C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ompany has been rated AAA — the highest credit rating for NBFCs — by four leading rating agencies. It has also received leadership scores and ratings by global and national Environmental, Social and Governance (ESG) rating providers for its sustainability performance. The </w:t>
      </w:r>
      <w:r>
        <w:rPr>
          <w:rFonts w:ascii="Arial" w:hAnsi="Arial" w:cs="Arial"/>
          <w:color w:val="222222"/>
          <w:sz w:val="16"/>
          <w:szCs w:val="16"/>
        </w:rPr>
        <w:t>C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ompany has also won many prestigious awards for its flagship CSR project – “Digital Sakhi” which is focused on women empowerment and digital and financial inclusion. </w:t>
      </w:r>
      <w:r w:rsidRPr="002848C1">
        <w:rPr>
          <w:rFonts w:ascii="Arial" w:hAnsi="Arial" w:cs="Arial"/>
          <w:color w:val="222222"/>
          <w:sz w:val="16"/>
          <w:szCs w:val="16"/>
        </w:rPr>
        <w:t>Our focus on doing the ‘right businesses’ has helped the Company become one of the leading financiers in key retail products.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 The </w:t>
      </w:r>
      <w:r>
        <w:rPr>
          <w:rFonts w:ascii="Arial" w:hAnsi="Arial" w:cs="Arial"/>
          <w:color w:val="222222"/>
          <w:sz w:val="16"/>
          <w:szCs w:val="16"/>
        </w:rPr>
        <w:t>C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ompany is focused on creating a top-class, digitally-enabled, retail finance </w:t>
      </w:r>
      <w:r>
        <w:rPr>
          <w:rFonts w:ascii="Arial" w:hAnsi="Arial" w:cs="Arial"/>
          <w:color w:val="222222"/>
          <w:sz w:val="16"/>
          <w:szCs w:val="16"/>
        </w:rPr>
        <w:t>C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ompany as part of the Lakshya 2026 plan. The goal is to move the emphasis from product focus to customer focus and establish a robust retail portfolio with quality assets, thus creating a </w:t>
      </w:r>
      <w:proofErr w:type="spellStart"/>
      <w:r w:rsidRPr="00110CED">
        <w:rPr>
          <w:rFonts w:ascii="Arial" w:hAnsi="Arial" w:cs="Arial"/>
          <w:color w:val="222222"/>
          <w:sz w:val="16"/>
          <w:szCs w:val="16"/>
        </w:rPr>
        <w:t>Fintech@Scale</w:t>
      </w:r>
      <w:proofErr w:type="spellEnd"/>
      <w:r w:rsidRPr="00110CED">
        <w:rPr>
          <w:rFonts w:ascii="Arial" w:hAnsi="Arial" w:cs="Arial"/>
          <w:color w:val="222222"/>
          <w:sz w:val="16"/>
          <w:szCs w:val="16"/>
        </w:rPr>
        <w:t xml:space="preserve"> while keeping ESG at the core. </w:t>
      </w:r>
      <w:proofErr w:type="spellStart"/>
      <w:r w:rsidRPr="00110CED">
        <w:rPr>
          <w:rFonts w:ascii="Arial" w:hAnsi="Arial" w:cs="Arial"/>
          <w:color w:val="222222"/>
          <w:sz w:val="16"/>
          <w:szCs w:val="16"/>
        </w:rPr>
        <w:t>Fintech@Scale</w:t>
      </w:r>
      <w:proofErr w:type="spellEnd"/>
      <w:r w:rsidRPr="00110CED">
        <w:rPr>
          <w:rFonts w:ascii="Arial" w:hAnsi="Arial" w:cs="Arial"/>
          <w:color w:val="222222"/>
          <w:sz w:val="16"/>
          <w:szCs w:val="16"/>
        </w:rPr>
        <w:t xml:space="preserve"> is one of the pillars of the </w:t>
      </w:r>
      <w:r>
        <w:rPr>
          <w:rFonts w:ascii="Arial" w:hAnsi="Arial" w:cs="Arial"/>
          <w:color w:val="222222"/>
          <w:sz w:val="16"/>
          <w:szCs w:val="16"/>
        </w:rPr>
        <w:t>C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ompany’s strategic roadmap - Lakshya 2026. The </w:t>
      </w:r>
      <w:r>
        <w:rPr>
          <w:rFonts w:ascii="Arial" w:hAnsi="Arial" w:cs="Arial"/>
          <w:color w:val="222222"/>
          <w:sz w:val="16"/>
          <w:szCs w:val="16"/>
        </w:rPr>
        <w:t>C</w:t>
      </w:r>
      <w:r w:rsidRPr="00110CED">
        <w:rPr>
          <w:rFonts w:ascii="Arial" w:hAnsi="Arial" w:cs="Arial"/>
          <w:color w:val="222222"/>
          <w:sz w:val="16"/>
          <w:szCs w:val="16"/>
        </w:rPr>
        <w:t>ompany has a database of over 2</w:t>
      </w:r>
      <w:r w:rsidR="000B6E01">
        <w:rPr>
          <w:rFonts w:ascii="Arial" w:hAnsi="Arial" w:cs="Arial"/>
          <w:color w:val="222222"/>
          <w:sz w:val="16"/>
          <w:szCs w:val="16"/>
        </w:rPr>
        <w:t>.1</w:t>
      </w:r>
      <w:r w:rsidRPr="00110CED">
        <w:rPr>
          <w:rFonts w:ascii="Arial" w:hAnsi="Arial" w:cs="Arial"/>
          <w:color w:val="222222"/>
          <w:sz w:val="16"/>
          <w:szCs w:val="16"/>
        </w:rPr>
        <w:t xml:space="preserve"> crore customers, which is being leveraged to cross-sell, up-sell as well as identify new customers.</w:t>
      </w:r>
    </w:p>
    <w:p w14:paraId="44703172" w14:textId="77777777" w:rsidR="005D4AC3" w:rsidRPr="00110CED" w:rsidRDefault="005D4AC3" w:rsidP="005D4AC3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F25A879" w14:textId="77777777" w:rsidR="005D4AC3" w:rsidRDefault="005D4AC3" w:rsidP="005D4AC3">
      <w:pPr>
        <w:shd w:val="clear" w:color="auto" w:fill="FFFFFF"/>
        <w:tabs>
          <w:tab w:val="left" w:pos="270"/>
        </w:tabs>
        <w:jc w:val="center"/>
      </w:pPr>
      <w:r w:rsidRPr="00110CED">
        <w:rPr>
          <w:rFonts w:ascii="Arial" w:hAnsi="Arial" w:cs="Arial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02BCFD6E" wp14:editId="275325C7">
            <wp:extent cx="190500" cy="144780"/>
            <wp:effectExtent l="0" t="0" r="0" b="7620"/>
            <wp:docPr id="537777922" name="Picture 6" descr="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2" t="24043" r="32364"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9" w:history="1">
        <w:proofErr w:type="spellStart"/>
        <w:r w:rsidRPr="00110CED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LnTFS</w:t>
        </w:r>
        <w:proofErr w:type="spellEnd"/>
      </w:hyperlink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110CED">
        <w:rPr>
          <w:rFonts w:ascii="Arial" w:hAnsi="Arial" w:cs="Arial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3BDCFB58" wp14:editId="27A3245B">
            <wp:extent cx="220980" cy="137160"/>
            <wp:effectExtent l="0" t="0" r="7620" b="0"/>
            <wp:docPr id="1536719039" name="Picture 5" descr="Logo, icon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, icon, company nam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proofErr w:type="spellStart"/>
        <w:r w:rsidRPr="00110CED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LnTFinance</w:t>
        </w:r>
        <w:proofErr w:type="spellEnd"/>
      </w:hyperlink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110CED">
        <w:rPr>
          <w:rFonts w:ascii="Arial" w:hAnsi="Arial" w:cs="Arial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38B6722E" wp14:editId="4A470E40">
            <wp:extent cx="243840" cy="167640"/>
            <wp:effectExtent l="0" t="0" r="3810" b="3810"/>
            <wp:docPr id="78556697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38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13" w:history="1">
        <w:proofErr w:type="spellStart"/>
        <w:r w:rsidRPr="00110CED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ltfinance</w:t>
        </w:r>
        <w:proofErr w:type="spellEnd"/>
      </w:hyperlink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Pr="00110CED">
        <w:rPr>
          <w:rFonts w:ascii="Arial" w:hAnsi="Arial" w:cs="Arial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22FA884A" wp14:editId="004B4CF6">
            <wp:extent cx="198120" cy="160020"/>
            <wp:effectExtent l="0" t="0" r="0" b="0"/>
            <wp:docPr id="11234454" name="Picture 3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454" name="Picture 3" descr="A blue and white 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hyperlink r:id="rId15" w:history="1">
        <w:proofErr w:type="spellStart"/>
        <w:r w:rsidRPr="00110CED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L&amp;TFinance</w:t>
        </w:r>
        <w:proofErr w:type="spellEnd"/>
      </w:hyperlink>
      <w:r w:rsidRPr="00110CED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110CED">
        <w:rPr>
          <w:rFonts w:ascii="Arial" w:hAnsi="Arial" w:cs="Arial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63D4372E" wp14:editId="5F55DA4B">
            <wp:extent cx="381000" cy="213360"/>
            <wp:effectExtent l="0" t="0" r="0" b="0"/>
            <wp:docPr id="2073204687" name="Picture 2" descr="1000logos.net/wp-content/uploads/2017/02/Insta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0logos.net/wp-content/uploads/2017/02/Instag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proofErr w:type="spellStart"/>
        <w:r w:rsidRPr="00110CED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lntfinance</w:t>
        </w:r>
        <w:proofErr w:type="spellEnd"/>
      </w:hyperlink>
    </w:p>
    <w:p w14:paraId="157D2370" w14:textId="77777777" w:rsidR="005D4AC3" w:rsidRDefault="005D4AC3"/>
    <w:sectPr w:rsidR="005D4AC3" w:rsidSect="00963A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42" w:right="1440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F7A8" w14:textId="77777777" w:rsidR="0040550A" w:rsidRDefault="0040550A">
      <w:r>
        <w:separator/>
      </w:r>
    </w:p>
  </w:endnote>
  <w:endnote w:type="continuationSeparator" w:id="0">
    <w:p w14:paraId="4F6105A7" w14:textId="77777777" w:rsidR="0040550A" w:rsidRDefault="0040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16B3" w14:textId="77777777" w:rsidR="0090358B" w:rsidRDefault="00903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D6F28" w14:textId="77777777" w:rsidR="00B6712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9E303E" w14:textId="77777777" w:rsidR="00B6712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6FE" w14:textId="77777777" w:rsidR="0090358B" w:rsidRDefault="00903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CD5B" w14:textId="77777777" w:rsidR="0040550A" w:rsidRDefault="0040550A">
      <w:r>
        <w:separator/>
      </w:r>
    </w:p>
  </w:footnote>
  <w:footnote w:type="continuationSeparator" w:id="0">
    <w:p w14:paraId="14909E17" w14:textId="77777777" w:rsidR="0040550A" w:rsidRDefault="0040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68D" w14:textId="77777777" w:rsidR="0090358B" w:rsidRDefault="00903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B927" w14:textId="2B4746A1" w:rsidR="00963A40" w:rsidRDefault="00EC6264" w:rsidP="00963A40">
    <w:pPr>
      <w:pStyle w:val="Header"/>
      <w:ind w:left="-1418"/>
    </w:pPr>
    <w:r>
      <w:rPr>
        <w:noProof/>
        <w:lang w:val="en-IN" w:eastAsia="en-IN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D5C09" wp14:editId="275C3786">
              <wp:simplePos x="0" y="0"/>
              <wp:positionH relativeFrom="column">
                <wp:posOffset>-609600</wp:posOffset>
              </wp:positionH>
              <wp:positionV relativeFrom="paragraph">
                <wp:posOffset>127000</wp:posOffset>
              </wp:positionV>
              <wp:extent cx="774860" cy="254000"/>
              <wp:effectExtent l="0" t="0" r="0" b="0"/>
              <wp:wrapNone/>
              <wp:docPr id="95351533" name="expertsource_Lsett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86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D85E1D" w14:textId="6C85CC48" w:rsidR="00EC6264" w:rsidRPr="00EC6264" w:rsidRDefault="00EC6264">
                          <w:pPr>
                            <w:rPr>
                              <w:rFonts w:ascii="Calibri" w:hAnsi="Calibri" w:cs="Calibri"/>
                              <w:color w:val="35AA33"/>
                              <w:sz w:val="22"/>
                            </w:rPr>
                          </w:pPr>
                          <w:r w:rsidRPr="00EC6264">
                            <w:rPr>
                              <w:rFonts w:ascii="Calibri" w:hAnsi="Calibri" w:cs="Calibri"/>
                              <w:color w:val="35AA33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D5C09" id="_x0000_t202" coordsize="21600,21600" o:spt="202" path="m,l,21600r21600,l21600,xe">
              <v:stroke joinstyle="miter"/>
              <v:path gradientshapeok="t" o:connecttype="rect"/>
            </v:shapetype>
            <v:shape id="expertsource_Lsetting" o:spid="_x0000_s1026" type="#_x0000_t202" style="position:absolute;left:0;text-align:left;margin-left:-48pt;margin-top:10pt;width:61pt;height:2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" filled="f" stroked="f" strokeweight=".5pt">
              <v:textbox>
                <w:txbxContent>
                  <w:p w14:paraId="3ED85E1D" w14:textId="6C85CC48" w:rsidR="00EC6264" w:rsidRPr="00EC6264" w:rsidRDefault="00EC6264">
                    <w:pPr>
                      <w:rPr>
                        <w:rFonts w:ascii="Calibri" w:hAnsi="Calibri" w:cs="Calibri"/>
                        <w:color w:val="35AA33"/>
                        <w:sz w:val="22"/>
                      </w:rPr>
                    </w:pPr>
                    <w:r w:rsidRPr="00EC6264">
                      <w:rPr>
                        <w:rFonts w:ascii="Calibri" w:hAnsi="Calibri" w:cs="Calibri"/>
                        <w:color w:val="35AA33"/>
                        <w:sz w:val="22"/>
                      </w:rPr>
                      <w:t>PUBLIC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04B98C08" wp14:editId="5D3DD4F6">
          <wp:simplePos x="0" y="0"/>
          <wp:positionH relativeFrom="margin">
            <wp:posOffset>-766445</wp:posOffset>
          </wp:positionH>
          <wp:positionV relativeFrom="page">
            <wp:align>top</wp:align>
          </wp:positionV>
          <wp:extent cx="7597140" cy="150622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50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590B" w14:textId="77777777" w:rsidR="0090358B" w:rsidRDefault="00903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59CE"/>
    <w:multiLevelType w:val="hybridMultilevel"/>
    <w:tmpl w:val="97AE6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6819"/>
    <w:multiLevelType w:val="hybridMultilevel"/>
    <w:tmpl w:val="A50E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6533"/>
    <w:multiLevelType w:val="hybridMultilevel"/>
    <w:tmpl w:val="5F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6068"/>
    <w:multiLevelType w:val="hybridMultilevel"/>
    <w:tmpl w:val="74F8C858"/>
    <w:lvl w:ilvl="0" w:tplc="557A7E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47176">
    <w:abstractNumId w:val="2"/>
  </w:num>
  <w:num w:numId="2" w16cid:durableId="1760637445">
    <w:abstractNumId w:val="0"/>
  </w:num>
  <w:num w:numId="3" w16cid:durableId="771048910">
    <w:abstractNumId w:val="1"/>
  </w:num>
  <w:num w:numId="4" w16cid:durableId="69076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C3"/>
    <w:rsid w:val="00090B06"/>
    <w:rsid w:val="000B6E01"/>
    <w:rsid w:val="000F090B"/>
    <w:rsid w:val="0017458A"/>
    <w:rsid w:val="00186283"/>
    <w:rsid w:val="001B72F8"/>
    <w:rsid w:val="00200659"/>
    <w:rsid w:val="0021328B"/>
    <w:rsid w:val="00262DC1"/>
    <w:rsid w:val="002C3ACE"/>
    <w:rsid w:val="002C4E01"/>
    <w:rsid w:val="00327E54"/>
    <w:rsid w:val="003B27F6"/>
    <w:rsid w:val="003D4584"/>
    <w:rsid w:val="0040550A"/>
    <w:rsid w:val="00420F7C"/>
    <w:rsid w:val="004A0A56"/>
    <w:rsid w:val="00596EE9"/>
    <w:rsid w:val="005D3280"/>
    <w:rsid w:val="005D4AC3"/>
    <w:rsid w:val="00685C71"/>
    <w:rsid w:val="006D5987"/>
    <w:rsid w:val="0073267C"/>
    <w:rsid w:val="007746D3"/>
    <w:rsid w:val="0077539F"/>
    <w:rsid w:val="00855CFF"/>
    <w:rsid w:val="008E49D6"/>
    <w:rsid w:val="009008CB"/>
    <w:rsid w:val="0090358B"/>
    <w:rsid w:val="00927F81"/>
    <w:rsid w:val="00987852"/>
    <w:rsid w:val="00994A30"/>
    <w:rsid w:val="00A95100"/>
    <w:rsid w:val="00AD57F4"/>
    <w:rsid w:val="00AF24D8"/>
    <w:rsid w:val="00B309D8"/>
    <w:rsid w:val="00B63D96"/>
    <w:rsid w:val="00B65D57"/>
    <w:rsid w:val="00B720BF"/>
    <w:rsid w:val="00B94468"/>
    <w:rsid w:val="00BB2026"/>
    <w:rsid w:val="00BB3E13"/>
    <w:rsid w:val="00C5333B"/>
    <w:rsid w:val="00C60C4D"/>
    <w:rsid w:val="00CF2386"/>
    <w:rsid w:val="00D12EE0"/>
    <w:rsid w:val="00D40522"/>
    <w:rsid w:val="00E1117D"/>
    <w:rsid w:val="00E713FF"/>
    <w:rsid w:val="00E9784A"/>
    <w:rsid w:val="00EC6264"/>
    <w:rsid w:val="00F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3D28B"/>
  <w15:chartTrackingRefBased/>
  <w15:docId w15:val="{99F69C35-5E5F-3C4A-8AAC-8EE3F5F7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C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C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rsid w:val="005D4AC3"/>
    <w:rPr>
      <w:color w:val="0000FF"/>
      <w:u w:val="single"/>
    </w:rPr>
  </w:style>
  <w:style w:type="paragraph" w:styleId="ListParagraph">
    <w:name w:val="List Paragraph"/>
    <w:aliases w:val="heading 9,Heading 91,Heading 911,RUS List,Dot pt,F5 List Paragraph,List Paragraph1,No Spacing1,List Paragraph Char Char Char,Indicator Text,Numbered Para 1,Bullet 1,Bullet Points,MAIN CONTENT,List Paragraph11,OBC Bullet,List Paragraph12,L"/>
    <w:basedOn w:val="Normal"/>
    <w:link w:val="ListParagraphChar"/>
    <w:uiPriority w:val="34"/>
    <w:qFormat/>
    <w:rsid w:val="005D4AC3"/>
    <w:pPr>
      <w:ind w:left="720"/>
      <w:contextualSpacing/>
    </w:pPr>
  </w:style>
  <w:style w:type="character" w:customStyle="1" w:styleId="ListParagraphChar">
    <w:name w:val="List Paragraph Char"/>
    <w:aliases w:val="heading 9 Char,Heading 91 Char,Heading 911 Char,RUS List Char,Dot pt Char,F5 List Paragraph Char,List Paragraph1 Char,No Spacing1 Char,List Paragraph Char Char Char Char,Indicator Text Char,Numbered Para 1 Char,Bullet 1 Char,L Char"/>
    <w:link w:val="ListParagraph"/>
    <w:uiPriority w:val="34"/>
    <w:qFormat/>
    <w:locked/>
    <w:rsid w:val="005D4AC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C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5D4AC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D4AC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ltfinan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instagram.com/lntfinance/?igshid=YmMyMTA2M2Y%3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nTFina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l&amp;t-finance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nTFS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2023-07-19 15:25:00</KDate>
  <Classification>PUBLIC</Classification>
  <Subclassification/>
  <HostName>KAL50053687</HostName>
  <Domain_User>LNTFINSVCS/50053687</Domain_User>
  <IPAdd>192.168.2.163</IPAdd>
  <FilePath>C:\Users\50053687\Desktop\Press Release- Final version vff.docx</FilePath>
  <KID>9C2F9D56F233638253771006170608</KID>
  <UniqueName/>
  <Suggested/>
  <Justification/>
</Klassify>
</file>

<file path=customXml/itemProps1.xml><?xml version="1.0" encoding="utf-8"?>
<ds:datastoreItem xmlns:ds="http://schemas.openxmlformats.org/officeDocument/2006/customXml" ds:itemID="{C6C4CCBF-674C-4F24-AF25-A25C0F94B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8956</dc:creator>
  <cp:keywords/>
  <dc:description/>
  <cp:lastModifiedBy>Neelasri Barman</cp:lastModifiedBy>
  <cp:revision>2</cp:revision>
  <dcterms:created xsi:type="dcterms:W3CDTF">2023-07-19T12:12:00Z</dcterms:created>
  <dcterms:modified xsi:type="dcterms:W3CDTF">2023-07-19T12:12:00Z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Rules">
    <vt:lpwstr/>
  </property>
  <property fmtid="{D5CDD505-2E9C-101B-9397-08002B2CF9AE}" pid="4" name="Reclassification">
    <vt:lpwstr>No</vt:lpwstr>
  </property>
  <property fmtid="{D5CDD505-2E9C-101B-9397-08002B2CF9AE}" pid="5" name="Hostname">
    <vt:lpwstr>KAL50053687</vt:lpwstr>
  </property>
  <property fmtid="{D5CDD505-2E9C-101B-9397-08002B2CF9AE}" pid="6" name="Department">
    <vt:lpwstr>DevOps</vt:lpwstr>
  </property>
  <property fmtid="{D5CDD505-2E9C-101B-9397-08002B2CF9AE}" pid="7" name="Author">
    <vt:lpwstr>50053687</vt:lpwstr>
  </property>
  <property fmtid="{D5CDD505-2E9C-101B-9397-08002B2CF9AE}" pid="8" name="KID">
    <vt:lpwstr>9C2F9D56F233638253771006170608</vt:lpwstr>
  </property>
</Properties>
</file>